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593831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06C8A9B3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1BFD2CC7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04E61686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237E0FAB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0F08EAF6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799F1690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5E31D0DD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093254EA">
      <w:pPr>
        <w:spacing w:line="360" w:lineRule="auto"/>
        <w:jc w:val="both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1A42DC93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</w:p>
    <w:p w14:paraId="5B4117A4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  <w:r>
        <w:rPr>
          <w:rFonts w:hint="default" w:ascii="Times New Roman" w:hAnsi="Times New Roman" w:cs="Times New Roman"/>
          <w:sz w:val="36"/>
          <w:szCs w:val="36"/>
          <w:lang w:val="ru-RU"/>
        </w:rPr>
        <w:t>РУКОВОДСВО ОПЕРАТОРА</w:t>
      </w:r>
    </w:p>
    <w:p w14:paraId="6063FAAA">
      <w:pPr>
        <w:spacing w:line="360" w:lineRule="auto"/>
        <w:jc w:val="center"/>
        <w:rPr>
          <w:rFonts w:hint="default" w:ascii="Times New Roman" w:hAnsi="Times New Roman" w:cs="Times New Roman"/>
          <w:sz w:val="36"/>
          <w:szCs w:val="36"/>
          <w:lang w:val="ru-RU"/>
        </w:rPr>
      </w:pPr>
      <w:r>
        <w:rPr>
          <w:rFonts w:hint="default" w:ascii="Times New Roman" w:hAnsi="Times New Roman" w:cs="Times New Roman"/>
          <w:sz w:val="36"/>
          <w:szCs w:val="36"/>
          <w:lang w:val="ru-RU"/>
        </w:rPr>
        <w:t>для технического контроля маркеров</w:t>
      </w:r>
    </w:p>
    <w:p w14:paraId="5C3A4C69">
      <w:pPr>
        <w:pStyle w:val="2"/>
        <w:bidi w:val="0"/>
        <w:rPr>
          <w:rFonts w:hint="default"/>
          <w:lang w:val="ru-RU"/>
        </w:rPr>
        <w:sectPr>
          <w:footerReference r:id="rId6" w:type="first"/>
          <w:footerReference r:id="rId5" w:type="default"/>
          <w:pgSz w:w="11906" w:h="16838"/>
          <w:pgMar w:top="1134" w:right="567" w:bottom="1134" w:left="567" w:header="720" w:footer="720" w:gutter="0"/>
          <w:cols w:space="720" w:num="1"/>
          <w:titlePg/>
          <w:docGrid w:linePitch="360" w:charSpace="0"/>
        </w:sectPr>
      </w:pPr>
    </w:p>
    <w:p w14:paraId="681A132B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Содержание</w:t>
      </w:r>
    </w:p>
    <w:p w14:paraId="30A8956F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31AD7467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Установка программного обеспечения (ПО)</w:t>
      </w:r>
    </w:p>
    <w:p w14:paraId="4FF4D182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4742180</wp:posOffset>
            </wp:positionH>
            <wp:positionV relativeFrom="paragraph">
              <wp:posOffset>10160</wp:posOffset>
            </wp:positionV>
            <wp:extent cx="2083435" cy="2083435"/>
            <wp:effectExtent l="0" t="0" r="4445" b="4445"/>
            <wp:wrapSquare wrapText="bothSides"/>
            <wp:docPr id="3" name="Изображение 3" descr="qr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qr-cod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lang w:val="ru-RU"/>
        </w:rPr>
        <w:t xml:space="preserve">Сначала необходимо установить приложение для технического контроля. Переходим по ссылке реопзитория </w:t>
      </w:r>
      <w:r>
        <w:rPr>
          <w:rFonts w:hint="default"/>
          <w:u w:val="single"/>
          <w:lang w:val="ru-RU"/>
        </w:rPr>
        <w:fldChar w:fldCharType="begin"/>
      </w:r>
      <w:r>
        <w:rPr>
          <w:rFonts w:hint="default"/>
          <w:u w:val="single"/>
          <w:lang w:val="ru-RU"/>
        </w:rPr>
        <w:instrText xml:space="preserve"> HYPERLINK "https://github.com/sakurelle/CamCan:" </w:instrText>
      </w:r>
      <w:r>
        <w:rPr>
          <w:rFonts w:hint="default"/>
          <w:u w:val="single"/>
          <w:lang w:val="ru-RU"/>
        </w:rPr>
        <w:fldChar w:fldCharType="separate"/>
      </w:r>
      <w:r>
        <w:rPr>
          <w:rStyle w:val="5"/>
          <w:rFonts w:hint="default"/>
          <w:color w:val="auto"/>
          <w:lang w:val="ru-RU"/>
        </w:rPr>
        <w:t>https://github.com/sakurelle/CamCan:</w:t>
      </w:r>
      <w:r>
        <w:rPr>
          <w:rFonts w:hint="default"/>
          <w:u w:val="single"/>
          <w:lang w:val="ru-RU"/>
        </w:rPr>
        <w:fldChar w:fldCharType="end"/>
      </w:r>
    </w:p>
    <w:p w14:paraId="5E6152D1">
      <w:pPr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Находим последний релиз (</w:t>
      </w:r>
      <w:r>
        <w:rPr>
          <w:rFonts w:hint="default"/>
          <w:lang w:val="en-US"/>
        </w:rPr>
        <w:t>Release</w:t>
      </w:r>
      <w:r>
        <w:rPr>
          <w:rFonts w:hint="default"/>
          <w:lang w:val="ru-RU"/>
        </w:rPr>
        <w:t xml:space="preserve">) из репозитория 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>рис. 1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. На 22.10.2026 это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highlight w:val="none"/>
          <w:lang w:val="en-US"/>
        </w:rPr>
        <w:t>v1.1.4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0BCF5396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скачиваем именно </w:t>
      </w:r>
      <w:r>
        <w:rPr>
          <w:rFonts w:hint="default"/>
          <w:lang w:val="en-US"/>
        </w:rPr>
        <w:t>MarkerQC-Windowsx64.zip</w:t>
      </w:r>
      <w:r>
        <w:rPr>
          <w:rFonts w:hint="default"/>
          <w:lang w:val="ru-RU"/>
        </w:rPr>
        <w:t>, как на рисунке 2</w:t>
      </w:r>
      <w:r>
        <w:rPr>
          <w:rFonts w:hint="default"/>
          <w:lang w:val="en-US"/>
        </w:rPr>
        <w:t>.</w:t>
      </w:r>
    </w:p>
    <w:p w14:paraId="13EC40DE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6837045" cy="3248660"/>
            <wp:effectExtent l="0" t="0" r="5715" b="1270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37045" cy="324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50A6E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Рисунок 1 - Главная страница репозитория.</w:t>
      </w:r>
    </w:p>
    <w:p w14:paraId="6BECAE67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4755515" cy="2612390"/>
            <wp:effectExtent l="0" t="0" r="14605" b="889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5515" cy="261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60E98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Рис. 2 - </w:t>
      </w:r>
      <w:r>
        <w:rPr>
          <w:rFonts w:hint="default"/>
          <w:lang w:val="en-US"/>
        </w:rPr>
        <w:t>MarkerQC-Windowsx64</w:t>
      </w:r>
    </w:p>
    <w:p w14:paraId="3B05937B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Извлекаем полученный архив (</w:t>
      </w:r>
      <w:r>
        <w:rPr>
          <w:rFonts w:hint="default"/>
          <w:lang w:val="en-US"/>
        </w:rPr>
        <w:t>.zip</w:t>
      </w:r>
      <w:r>
        <w:rPr>
          <w:rFonts w:hint="default"/>
          <w:lang w:val="ru-RU"/>
        </w:rPr>
        <w:t xml:space="preserve">), опционально читаем содержимое </w:t>
      </w:r>
      <w:r>
        <w:rPr>
          <w:rFonts w:hint="default"/>
          <w:lang w:val="en-US"/>
        </w:rPr>
        <w:t>README.md</w:t>
      </w:r>
      <w:r>
        <w:rPr>
          <w:rFonts w:hint="default"/>
          <w:lang w:val="ru-RU"/>
        </w:rPr>
        <w:t>, и приложение готово к работе. На рисунке 3 представлен пример разархивированной папки.</w:t>
      </w:r>
    </w:p>
    <w:p w14:paraId="5D8A4832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6835775" cy="1146810"/>
            <wp:effectExtent l="0" t="0" r="6985" b="1143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35775" cy="114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6C56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3 - Пример разархивированной папки.</w:t>
      </w:r>
    </w:p>
    <w:p w14:paraId="2930C693">
      <w:p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226B19EB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Настройка оборудования</w:t>
      </w:r>
    </w:p>
    <w:p w14:paraId="1FD35E9A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Запускаем </w:t>
      </w:r>
      <w:r>
        <w:rPr>
          <w:rFonts w:hint="default"/>
          <w:lang w:val="en-US"/>
        </w:rPr>
        <w:t>MarkerQC.exe</w:t>
      </w:r>
      <w:r>
        <w:rPr>
          <w:rFonts w:hint="default"/>
          <w:lang w:val="ru-RU"/>
        </w:rPr>
        <w:t>. Возможно уведомление об угрозе (рис. 4), игнорируем его и выполняем в любом случае (вы же доверяете мне?).</w:t>
      </w:r>
    </w:p>
    <w:p w14:paraId="05D9CB2F">
      <w:pPr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3893185" cy="3674745"/>
            <wp:effectExtent l="0" t="0" r="8255" b="13335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3185" cy="367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6D5C2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4 - Предупреждение угрозы.</w:t>
      </w:r>
    </w:p>
    <w:p w14:paraId="6B6BE326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Знакомимся с интерфейсом и выполняем ряд настроек, в том числе ознакомительных. Сверху есть раскрывающийся список устройств, выбираем нашу камеру (чаще всего это камера 1). Справа оставляем разрешение 640</w:t>
      </w:r>
      <w:r>
        <w:rPr>
          <w:rFonts w:hint="default"/>
          <w:lang w:val="en-US"/>
        </w:rPr>
        <w:t>x</w:t>
      </w:r>
      <w:r>
        <w:rPr>
          <w:rFonts w:hint="default"/>
          <w:lang w:val="ru-RU"/>
        </w:rPr>
        <w:t>480 (если вы располагаете мощным компьютером, можно увеличивать разрешение) и нажимаем подключить - у вас появляется изображение с камеры.</w:t>
      </w:r>
    </w:p>
    <w:p w14:paraId="1FD65EF1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4062095" cy="561975"/>
            <wp:effectExtent l="0" t="0" r="0" b="0"/>
            <wp:docPr id="9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6"/>
                    <pic:cNvPicPr>
                      <a:picLocks noChangeAspect="1"/>
                    </pic:cNvPicPr>
                  </pic:nvPicPr>
                  <pic:blipFill>
                    <a:blip r:embed="rId15"/>
                    <a:srcRect r="5857"/>
                    <a:stretch>
                      <a:fillRect/>
                    </a:stretch>
                  </pic:blipFill>
                  <pic:spPr>
                    <a:xfrm>
                      <a:off x="0" y="0"/>
                      <a:ext cx="406209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86BA6"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4057650" cy="971550"/>
            <wp:effectExtent l="0" t="0" r="11430" b="3810"/>
            <wp:docPr id="10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9129C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5 - Настройка камеры.</w:t>
      </w:r>
    </w:p>
    <w:p w14:paraId="17D2CDA0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Снизу, в панели инструментов есть три настройки (рис. 6). </w:t>
      </w:r>
    </w:p>
    <w:p w14:paraId="0FEFF9BF">
      <w:pPr>
        <w:bidi w:val="0"/>
        <w:rPr>
          <w:rFonts w:hint="default"/>
          <w:lang w:val="ru-RU"/>
        </w:rPr>
      </w:pPr>
    </w:p>
    <w:p w14:paraId="762DE22A">
      <w:pPr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3276600" cy="857250"/>
            <wp:effectExtent l="0" t="0" r="0" b="11430"/>
            <wp:docPr id="11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47EFE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6 - Инструменты.</w:t>
      </w:r>
    </w:p>
    <w:p w14:paraId="782F4BEE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Сначала настраиваем область поиска. Аналогично выделению на рабочем столе </w:t>
      </w:r>
      <w:r>
        <w:rPr>
          <w:rFonts w:hint="default"/>
          <w:lang w:val="en-US"/>
        </w:rPr>
        <w:t xml:space="preserve">Windows </w:t>
      </w:r>
      <w:r>
        <w:rPr>
          <w:rFonts w:hint="default"/>
          <w:lang w:val="ru-RU"/>
        </w:rPr>
        <w:t>просто выделяем область, где допускается положение маркера (программа будет искать маркер только в выделенной области). Соответственно, на рисунке 7, указаны неудачный и удачный выбор области. Удачный выбор также обусловлен тем, что в верхней части подложки имеется цветовая неоднородность и это может сбить алгоритм. В идеале, разумеется, чтобы была выделена вся область.</w:t>
      </w:r>
    </w:p>
    <w:p w14:paraId="576C1505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3343910" cy="2979420"/>
            <wp:effectExtent l="0" t="0" r="8890" b="7620"/>
            <wp:docPr id="12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3910" cy="297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 </w:t>
      </w:r>
      <w:r>
        <w:drawing>
          <wp:inline distT="0" distB="0" distL="114300" distR="114300">
            <wp:extent cx="3322320" cy="2985135"/>
            <wp:effectExtent l="0" t="0" r="0" b="1905"/>
            <wp:docPr id="13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70090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7 - Выделение области</w:t>
      </w:r>
    </w:p>
    <w:p w14:paraId="3C0C44FE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 случае необходимости оставляем или убираем галочку напротив пункта показывать рамку области поиска, она влияет только на изображение с камеры, алгоритм она не затрагивает.</w:t>
      </w:r>
    </w:p>
    <w:p w14:paraId="6D12FD8C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Далее производим калибровку датчика. Используя специальный калибр, соединяем две точки, которые гарантированно дают 10мм (рис. 8) и нажимаем Ок. Также можно использовать калибр другой длины, изменив соответствующий параметр вверху окна. В случае чего, также можно изменить масштаб изображения в окне калибровки, с помощью интерфейса в правом верхнем углу.</w:t>
      </w:r>
    </w:p>
    <w:p w14:paraId="4AD84056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5741035" cy="4630420"/>
            <wp:effectExtent l="0" t="0" r="4445" b="2540"/>
            <wp:docPr id="14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41035" cy="463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FAD9B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8 - Калибровка устройства.</w:t>
      </w:r>
    </w:p>
    <w:p w14:paraId="54C92E15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663DA4C5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Работа с устройством</w:t>
      </w:r>
    </w:p>
    <w:p w14:paraId="3F9FD3A3">
      <w:pPr>
        <w:rPr>
          <w:rFonts w:hint="default"/>
          <w:lang w:val="ru-RU"/>
        </w:rPr>
      </w:pPr>
      <w:r>
        <w:rPr>
          <w:rFonts w:hint="default"/>
          <w:lang w:val="ru-RU"/>
        </w:rPr>
        <w:t>Первый делом включаем подсветку устройства и диммером выставляем такую яркость, чтобы изображение было примерно таким, как на фото ниже.</w:t>
      </w:r>
    </w:p>
    <w:p w14:paraId="2FD40634">
      <w:pPr>
        <w:rPr>
          <w:rFonts w:hint="default"/>
          <w:lang w:val="ru-RU"/>
        </w:rPr>
      </w:pPr>
      <w:r>
        <w:rPr>
          <w:rFonts w:hint="default"/>
          <w:lang w:val="ru-RU"/>
        </w:rPr>
        <w:t>При попадании маркера в выделенную область, программа автоматически его находит и определяет его размеры. Пример изображен на рисунке 9.</w:t>
      </w:r>
    </w:p>
    <w:p w14:paraId="236BE343">
      <w:pPr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6839585" cy="3847465"/>
            <wp:effectExtent l="0" t="0" r="3175" b="8255"/>
            <wp:docPr id="15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39585" cy="384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t>Рис. 9 - Пример рабочего интерфейса.</w:t>
      </w:r>
    </w:p>
    <w:p w14:paraId="66C11ED5">
      <w:pPr>
        <w:rPr>
          <w:rFonts w:hint="default"/>
          <w:lang w:val="ru-RU"/>
        </w:rPr>
      </w:pPr>
      <w:r>
        <w:rPr>
          <w:rFonts w:hint="default"/>
          <w:lang w:val="ru-RU"/>
        </w:rPr>
        <w:t>Справа указываются актуальные параметры данного маркера, они будут красными, если несоответствуют допуску и зелеными, если соответствуют. При необходимости, сверху имеются настройки, а именно допуски, где можно указать необходимые допуски для определенной партии маркеров (рис. 10).</w:t>
      </w:r>
    </w:p>
    <w:p w14:paraId="0BD50F85">
      <w:pPr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2313305" cy="1771650"/>
            <wp:effectExtent l="0" t="0" r="3175" b="11430"/>
            <wp:docPr id="16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6FE8D2D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10 - Допуски маркеров.</w:t>
      </w:r>
    </w:p>
    <w:p w14:paraId="693DEC32">
      <w:pPr>
        <w:rPr>
          <w:rFonts w:hint="default"/>
          <w:lang w:val="ru-RU"/>
        </w:rPr>
      </w:pPr>
      <w:r>
        <w:rPr>
          <w:rFonts w:hint="default"/>
          <w:lang w:val="ru-RU"/>
        </w:rPr>
        <w:t>В случае, если границы маркера определились неверно, можно воспользоваться функцией коррекции точек из панели инструментов снизу. Ее пример показан на рисунке 11. В таком случае, после корректировки, необходимо нажать кнопку Измерить, находящуюся справа, чтобы алгоритм продолжил работу в автоматическом режиме.</w:t>
      </w:r>
    </w:p>
    <w:p w14:paraId="13295F11">
      <w:pPr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5542280" cy="4360545"/>
            <wp:effectExtent l="0" t="0" r="5080" b="13335"/>
            <wp:docPr id="17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2280" cy="436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DE1F1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11 - Корректировка маркера.</w:t>
      </w:r>
    </w:p>
    <w:p w14:paraId="065A6FB0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Также имеется вкладка История (рис. 12). При нажатии Измерить, локально сохраняться данные о текущем измерении маркера, это необходимо для отчетности и калибровки производственного процесса. При отсутствии необходимости, сохранять данные не нужно. Эти данные можно удалить или экспортировать в </w:t>
      </w:r>
      <w:r>
        <w:rPr>
          <w:rFonts w:hint="default"/>
          <w:lang w:val="en-US"/>
        </w:rPr>
        <w:t xml:space="preserve">CSV </w:t>
      </w:r>
      <w:r>
        <w:rPr>
          <w:rFonts w:hint="default"/>
          <w:lang w:val="ru-RU"/>
        </w:rPr>
        <w:t xml:space="preserve">или </w:t>
      </w:r>
      <w:r>
        <w:rPr>
          <w:rFonts w:hint="default"/>
          <w:lang w:val="en-US"/>
        </w:rPr>
        <w:t>Excel</w:t>
      </w:r>
      <w:r>
        <w:rPr>
          <w:rFonts w:hint="default"/>
          <w:lang w:val="ru-RU"/>
        </w:rPr>
        <w:t>, соответствующими кнопка снизу данной вкладки.</w:t>
      </w:r>
    </w:p>
    <w:p w14:paraId="055D2A06">
      <w:pPr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6839585" cy="3847465"/>
            <wp:effectExtent l="0" t="0" r="3175" b="8255"/>
            <wp:docPr id="18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39585" cy="384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579C1">
      <w:pPr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12 - Вкладка Истории.</w:t>
      </w:r>
    </w:p>
    <w:p w14:paraId="505B99E1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 итогу, валидными являются только те маркеры, все данные на которых являются зелеными (то есть входят в допуск) в правой панели (рис. 13).</w:t>
      </w:r>
    </w:p>
    <w:p w14:paraId="58D1FD55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3419475" cy="2447925"/>
            <wp:effectExtent l="0" t="0" r="9525" b="5715"/>
            <wp:docPr id="19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6D9DD">
      <w:pPr>
        <w:bidi w:val="0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13 - Валидный результат.</w:t>
      </w:r>
    </w:p>
    <w:p w14:paraId="525D8C14">
      <w:pPr>
        <w:bidi w:val="0"/>
        <w:rPr>
          <w:rFonts w:hint="default"/>
          <w:lang w:val="ru-RU"/>
        </w:rPr>
      </w:pPr>
    </w:p>
    <w:p w14:paraId="72FBD347">
      <w:pPr>
        <w:bidi w:val="0"/>
        <w:rPr>
          <w:rFonts w:hint="default"/>
          <w:lang w:val="ru-RU"/>
        </w:rPr>
      </w:pPr>
    </w:p>
    <w:p w14:paraId="0E529933">
      <w:pPr>
        <w:bidi w:val="0"/>
        <w:rPr>
          <w:rFonts w:hint="default"/>
          <w:lang w:val="ru-RU"/>
        </w:rPr>
      </w:pPr>
    </w:p>
    <w:p w14:paraId="1516E563">
      <w:pPr>
        <w:ind w:left="0" w:leftChars="0" w:firstLine="0" w:firstLineChars="0"/>
        <w:jc w:val="center"/>
        <w:rPr>
          <w:rFonts w:hint="default"/>
          <w:lang w:val="ru-RU"/>
        </w:rPr>
      </w:pPr>
    </w:p>
    <w:p w14:paraId="1163F39A">
      <w:pPr>
        <w:rPr>
          <w:rFonts w:hint="default"/>
          <w:lang w:val="ru-RU"/>
        </w:rPr>
      </w:pPr>
    </w:p>
    <w:sectPr>
      <w:footerReference r:id="rId8" w:type="first"/>
      <w:footerReference r:id="rId7" w:type="default"/>
      <w:pgSz w:w="11906" w:h="16838"/>
      <w:pgMar w:top="1134" w:right="567" w:bottom="1134" w:left="567" w:header="567" w:footer="567" w:gutter="0"/>
      <w:pgNumType w:fmt="decimal" w:start="2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Основной текст (восточно-азиатское письмо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+Основной текст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Основной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15F8A2">
    <w:pPr>
      <w:pStyle w:val="7"/>
      <w:jc w:val="center"/>
      <w:rPr>
        <w:rFonts w:hint="default" w:ascii="Times New Roman" w:hAnsi="Times New Roman" w:cs="Times New Roman"/>
        <w:sz w:val="28"/>
        <w:szCs w:val="28"/>
        <w:lang w:val="ru-RU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2A85BC">
    <w:pPr>
      <w:pStyle w:val="7"/>
      <w:jc w:val="center"/>
      <w:rPr>
        <w:rFonts w:hint="default" w:ascii="Times New Roman" w:hAnsi="Times New Roman" w:cs="Times New Roman"/>
        <w:sz w:val="28"/>
        <w:szCs w:val="28"/>
        <w:lang w:val="ru-RU"/>
      </w:rPr>
    </w:pPr>
    <w:r>
      <w:rPr>
        <w:rFonts w:hint="default" w:ascii="Times New Roman" w:hAnsi="Times New Roman" w:cs="Times New Roman"/>
        <w:sz w:val="28"/>
        <w:szCs w:val="28"/>
        <w:lang w:val="ru-RU"/>
      </w:rPr>
      <w:t>Москва, 2026 г.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CEF513">
    <w:pPr>
      <w:pStyle w:val="7"/>
      <w:jc w:val="center"/>
      <w:rPr>
        <w:rFonts w:hint="default" w:ascii="Times New Roman" w:hAnsi="Times New Roman" w:cs="Times New Roman"/>
        <w:sz w:val="28"/>
        <w:szCs w:val="28"/>
        <w:lang w:val="ru-RU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C7E2A1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9C7E2A1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27355B">
    <w:pPr>
      <w:pStyle w:val="7"/>
      <w:jc w:val="center"/>
      <w:rPr>
        <w:rFonts w:hint="default" w:ascii="Times New Roman" w:hAnsi="Times New Roman" w:cs="Times New Roman"/>
        <w:sz w:val="28"/>
        <w:szCs w:val="28"/>
        <w:lang w:val="ru-RU"/>
      </w:rPr>
    </w:pPr>
    <w:r>
      <w:rPr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249555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2495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62558DD">
                          <w:pPr>
                            <w:pStyle w:val="7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9.65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62558DD">
                    <w:pPr>
                      <w:pStyle w:val="7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DA450E"/>
    <w:rsid w:val="24DA450E"/>
    <w:rsid w:val="32D60378"/>
    <w:rsid w:val="744C2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00" w:after="200" w:line="360" w:lineRule="auto"/>
      <w:ind w:firstLine="0"/>
      <w:jc w:val="center"/>
      <w:outlineLvl w:val="0"/>
    </w:pPr>
    <w:rPr>
      <w:rFonts w:cs="Arial"/>
      <w:b/>
      <w:bCs/>
      <w:caps/>
      <w:kern w:val="32"/>
      <w:szCs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uiPriority w:val="0"/>
    <w:rPr>
      <w:color w:val="0000FF"/>
      <w:u w:val="single"/>
    </w:rPr>
  </w:style>
  <w:style w:type="paragraph" w:styleId="6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jpeg"/><Relationship Id="rId11" Type="http://schemas.openxmlformats.org/officeDocument/2006/relationships/image" Target="media/image2.jpe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2026-10-22T11:00:00Z</dcterms:created>
  <dc:creator>Егор Девяткин</dc:creator>
  <cp:lastModifiedBy>Егор Девяткин</cp:lastModifiedBy>
  <dcterms:modified xsi:type="dcterms:W3CDTF">2026-10-22T12:30:25Z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1049-12.1.0.29162</vt:lpwstr>
  </property>
  <property fmtid="{D5CDD505-2E9C-101B-9397-08002B2CF9AE}" pid="3" name="ICV">
    <vt:lpwstr>C1EF4B745DD44242B21B7C47684FA0DD_11</vt:lpwstr>
  </property>
  <property fmtid="{D5CDD505-2E9C-101B-9397-08002B2CF9AE}" pid="4" name="KSOTemplateDocerSaveRecord">
    <vt:lpwstr>eyJoZGlkIjoiMzEyYzI0OTNhMDlkNjg4M2ExNDYxMTUyZjI5Mzk4ZjEiLCJ1c2VySWQiOiI4NDIxMDg0ODU0NjYifQ==</vt:lpwstr>
  </property>
</Properties>
</file>