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企业研发中心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用户未说明层级时必须先确认省级、市级或区县版本，不得混用不同地区的指标和评分表。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确认省级、市级或区县版本 → 锁定评分表 → 指标测算 → 资料补强 → 申报认定或复核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企业研发中心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企业经营年限、规模或行业范围满足当期申报要求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研发中心组织架构、负责人和管理制度符合当期要求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研发人员数量或占比达到现行通知门槛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研发费用金额、占比或增速达到现行通知门槛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研发场地面积、仪器设备原值或试验条件达到现行要求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在研项目、知识产权、成果转化和产学研合作达到评分要求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独立研发组织、稳定研发人员、研发投入、场地设备、项目成果和制度运行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可行性报告必须完整复刻当期评分表，逐项列分值、现状、证据、缺口和预计得分。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组织运行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研发人员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场地设备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研发项目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成果转化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7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开放合作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组织架构与任命文件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研发人员名册和劳动关系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研发费用明细账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场地设备清单与发票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项目立项结题和成果转化资料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研发机构制度和年度计划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研发项目与成果转化台账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研发机构制度和年度计划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研发项目与成果转化台账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企业研发中心项目申报可行性分析报告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