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首批次新材料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按当期目录、指南和表单判断申报档次；不在前期强迫用户选择国际、国内或省市层级。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材料产品和牌号确认 → 申报档次由表单选择 → 性能与批次稳定性验证 → 首次应用证明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首批次新材料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申报材料属于当期支持领域并形成明确牌号、规格或产品边界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材料关键性能达到对应档次的技术要求或先进水平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已完成中试或规模化生产并具备批次稳定性资料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核心配方、工艺或结构拥有自主知识产权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检测、查新、用户试用或首次应用资料满足当期要求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销售、应用或保险补偿资料满足对应申报路径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新材料产品边界、关键性能、批次稳定性、首次应用及自主知识产权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可行性报告须说明材料、配方、工艺、终端应用性能之间的因果关系。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材料创新性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关键性能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批次稳定性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应用成熟度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产业化能力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牌号与产品标准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连续批次检测数据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中试及放大记录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用户试用与应用报告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专利、配方和工艺秘密管理资料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材料查新与性能检测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企业标准、团体标准或产品标准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材料查新与性能检测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企业标准、团体标准或产品标准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首批次新材料项目申报可行性分析报告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