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首批次新材料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pPr>
        <w:pStyle w:val="Heading1"/>
        <w:pageBreakBefore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pStyle w:val="Heading1"/>
        <w:pageBreakBefore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按当期目录、指南和表单判断申报档次；不在前期强迫用户选择国际、国内或省市层级。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申报材料属于当期支持领域并形成明确牌号、规格或产品边界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材料关键性能达到对应档次的技术要求或先进水平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已完成中试或规模化生产并具备批次稳定性资料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核心配方、工艺或结构拥有自主知识产权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检测、查新、用户试用或首次应用资料满足当期要求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销售、应用或保险补偿资料满足对应申报路径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pStyle w:val="Heading1"/>
        <w:pageBreakBefore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新材料产品边界、关键性能、批次稳定性、首次应用及自主知识产权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可行性报告须说明材料、配方、工艺、终端应用性能之间的因果关系。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材料产品和牌号确认 → 申报档次由表单选择 → 性能与批次稳定性验证 → 首次应用证明 → 专家评审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首批次新材料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材料查新与性能检测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企业标准、团体标准或产品标准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pPr>
        <w:pStyle w:val="Heading1"/>
        <w:pageBreakBefore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牌号与产品标准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连续批次检测数据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中试及放大记录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用户试用与应用报告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专利、配方和工艺秘密管理资料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/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/>
  </w:p>
  <w:p>
    <w:pPr>
      <w:jc w:val="right"/>
    </w:pPr>
    <w:r>
      <w:rPr>
        <w:rFonts w:ascii="Microsoft YaHei" w:hAnsi="Microsoft YaHei"/>
        <w:color w:val="8A6A2F"/>
        <w:sz w:val="18"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首批次新材料项目前期评估报告</dc:title>
  <dc:subject>政府项目双报告培训模板</dc:subject>
  <dc:creator/>
  <cp:keywords/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