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500"/>
        <w:jc w:val="center"/>
      </w:pPr>
      <w:r>
        <w:rPr>
          <w:rFonts w:ascii="Microsoft YaHei" w:hAnsi="Microsoft YaHei" w:eastAsia="Microsoft YaHei"/>
          <w:b/>
          <w:color w:val="7F1424"/>
          <w:sz w:val="50"/>
        </w:rPr>
        <w:t>首版次软件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b/>
          <w:color w:val="24313D"/>
          <w:sz w:val="40"/>
        </w:rPr>
        <w:t>项目申报可行性分析报告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647180"/>
          <w:sz w:val="22"/>
        </w:rPr>
        <w:t>用于逐条核验、评分测算、证据闭环和年度实施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b/>
          <w:color w:val="A51C30"/>
          <w:sz w:val="22"/>
        </w:rPr>
        <w:t>V1.6.5.1 培训模板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使用说明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先锁定项目层级、申报年度、现行管理办法、年度通知、指南附件及截止日期。灰色提示文字为培训说明，正式交付前应替换或删除。模板不预填企业事实，不承诺获批。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企业名称：［填写］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报告日期：［填写］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顾问：［填写］</w:t>
      </w:r>
    </w:p>
    <w:p>
      <w:pPr>
        <w:pStyle w:val="Heading1"/>
        <w:pageBreakBefore/>
      </w:pPr>
      <w:r>
        <w:t>一、项目版本与窗口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版本要求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按当期指南和软件产品实际情况选择档次，不要求用户在需求模糊时预先选择固定层级。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政策层级</w:t>
            </w:r>
          </w:p>
        </w:tc>
        <w:tc>
          <w:tcPr>
            <w:tcW w:type="dxa" w:w="28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文件名称与文号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生效及适用范围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原文位置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核验人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管理办法或评价办法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［条款或附件位置］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申报年度通知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［主体、年度、批次］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申报指南与评分附件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［核心条件及评分表］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［官方通知原文位置］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1.1 申报路径和时间控制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完整路径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软件产品及版本锁定 → 申报档次由表单选择 → 功能性能与安全测试 → 用户应用验证 → 专家评审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申报年度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申报截止日期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首版次软件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［以当年通知原文为准］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pStyle w:val="Heading1"/>
        <w:pageBreakBefore/>
      </w:pPr>
      <w:r>
        <w:t>二、总体结论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28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36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依据及限制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申报结论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□建议申报  □有条件申报  □转下一年度  □暂缓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建议申报年度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36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［结合通知、有效期、复核和截止日期］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预计满足硬门槛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［填写满足数/总数］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［以现行通知原文为准］</w:t>
            </w:r>
          </w:p>
        </w:tc>
      </w:tr>
      <w:tr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预计评分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36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［仅在评分表已锁定时计算］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关键前置任务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［填写三项以内］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［写责任人和最迟完成时间］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官方时间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企业内部截止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政策锁定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资料冻结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专项报告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网上申报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推荐审核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补正答辩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pStyle w:val="Heading2"/>
        <w:pageBreakBefore/>
      </w:pPr>
      <w:r>
        <w:t>2.1 政策原文摘录规则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逐条复制现行通知的明确条件，不用经验性概述替代原文。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每项条件同时记录条款、附件、页码或表格位置。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当年截止项目必须写明企业端、区县推荐端及最终截止日期。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管理办法、年度通知、指南和评分附件冲突时，记录冲突并按更高等级或更晚生效文件处理。</w:t>
      </w:r>
    </w:p>
    <w:p>
      <w:pPr>
        <w:pStyle w:val="Heading2"/>
      </w:pPr>
      <w:r>
        <w:t>2.2 数据截止日和口径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数据类别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统计期间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口径</w:t>
            </w:r>
          </w:p>
        </w:tc>
        <w:tc>
          <w:tcPr>
            <w:tcW w:type="dxa" w:w="21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147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营业收入与利润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人员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主导产品或申报对象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知识产权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投资与设备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</w:tbl>
    <w:p>
      <w:pPr>
        <w:pStyle w:val="Heading1"/>
        <w:pageBreakBefore/>
      </w:pPr>
      <w:r>
        <w:t>三、现行条件或完整评分表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260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现行条件或评分项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证据来源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证据状态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确定分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条件分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申报软件属于当期支持领域并具有独立产品或系统边界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核心代码、算法、架构或平台技术具有自主知识产权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版本完成开发测试并达到规定的成熟度和稳定性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功能、性能、兼容性和信息安全测试满足当期要求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首版次销售、用户部署或示范应用资料符合对应路径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软件著作权、专利和开源组件合规资料完整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判定规则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只用现行政策和已核验企业数据作达标判断；企业未提供的数据写待企业确认，明确检索未命中的资料写待补强。</w:t>
            </w:r>
          </w:p>
        </w:tc>
      </w:tr>
    </w:tbl>
    <w:p>
      <w:pPr>
        <w:pStyle w:val="Heading1"/>
        <w:pageBreakBefore/>
      </w:pPr>
      <w:r>
        <w:t>四、项目专属核心对象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项目路由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软件产品边界、核心功能、技术创新、成熟度、知识产权和首次市场应用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专项要求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可行性报告必须以指定软件版本为对象，避免把企业整体数字化能力误作首版次产品成熟度。</w:t>
            </w:r>
          </w:p>
        </w:tc>
      </w:tr>
    </w:tbl>
    <w:p>
      <w:pPr>
        <w:spacing w:after="0"/>
      </w:pPr>
    </w:p>
    <w:p>
      <w:pPr>
        <w:pStyle w:val="Heading2"/>
      </w:pPr>
      <w:r>
        <w:t>4.1 评分表与竞争力测算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4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79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满分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预计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评分规则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功能创新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算法或架构创新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成熟度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安全可靠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5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应用与市场价值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</w:tbl>
    <w:p>
      <w:pPr>
        <w:spacing w:after="0"/>
      </w:pPr>
    </w:p>
    <w:p>
      <w:pPr>
        <w:pStyle w:val="Heading2"/>
      </w:pPr>
      <w:r>
        <w:t>4.2 得分解释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预计得分必须能回溯到评分条款和企业证据。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软提升项和加分项应进入任务包，但不得写成固定加分或硬门槛。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无公开评分表的项目不虚构分值，改用优先级、成熟度和证据完整度评价。</w:t>
      </w:r>
    </w:p>
    <w:p>
      <w:pPr>
        <w:pStyle w:val="Heading2"/>
      </w:pPr>
      <w:r>
        <w:t>4.3 竞争位置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对标对象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同口径指标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同行值或区间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差距与动作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［政府公示同类企业］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［填写并注明来源］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［行业代表产品］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［填写并注明来源］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pStyle w:val="Heading1"/>
        <w:pageBreakBefore/>
      </w:pPr>
      <w:r>
        <w:t>五、逐项补强计划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56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94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证据主题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证据载体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截止日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需求规格与产品说明书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架构设计和版本记录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测试报告和安全测评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软件著作权与专利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5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合同、部署记录和用户应用报告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</w:tbl>
    <w:p>
      <w:pPr>
        <w:spacing w:after="0"/>
      </w:pPr>
    </w:p>
    <w:p>
      <w:pPr>
        <w:pStyle w:val="Heading2"/>
      </w:pPr>
      <w:r>
        <w:t>5.1 补强任务表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30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补强动作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所需材料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完成节点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第三方软件测试和安全测评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开源组件与数据合规清单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</w:tbl>
    <w:p>
      <w:pPr>
        <w:pStyle w:val="Heading1"/>
        <w:pageBreakBefore/>
      </w:pPr>
      <w:r>
        <w:t>六、年度倒排计划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重点动作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所需材料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完成节点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政策锁定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底稿建立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缺口补强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材料冻结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申报与补正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1"/>
      </w:pPr>
      <w:r>
        <w:t>七、科技咨询补强</w:t>
      </w:r>
    </w:p>
    <w:p>
      <w:pPr>
        <w:pStyle w:val="Heading2"/>
      </w:pPr>
      <w:r>
        <w:t>7.1 技术水平双报告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报告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评价对象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对标范围</w:t>
            </w:r>
          </w:p>
        </w:tc>
        <w:tc>
          <w:tcPr>
            <w:tcW w:type="dxa" w:w="243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关键证据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目标表述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［填写产品］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国内同类产品</w:t>
            </w:r>
          </w:p>
        </w:tc>
        <w:tc>
          <w:tcPr>
            <w:tcW w:type="dxa" w:w="243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技术指标、专利、检测、应用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证据充分后论证国内领先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［填写产品］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国际同类产品</w:t>
            </w:r>
          </w:p>
        </w:tc>
        <w:tc>
          <w:tcPr>
            <w:tcW w:type="dxa" w:w="243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技术指标、PCT、认证、国际应用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证据充分后论证国际先进</w:t>
            </w:r>
          </w:p>
        </w:tc>
      </w:tr>
    </w:tbl>
    <w:p>
      <w:pPr>
        <w:pStyle w:val="Heading1"/>
        <w:pageBreakBefore/>
      </w:pPr>
      <w:r>
        <w:t>附录 A、补强实施底稿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4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补强事项</w:t>
            </w:r>
          </w:p>
        </w:tc>
        <w:tc>
          <w:tcPr>
            <w:tcW w:type="dxa" w:w="13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实施动作</w:t>
            </w:r>
          </w:p>
        </w:tc>
        <w:tc>
          <w:tcPr>
            <w:tcW w:type="dxa" w:w="124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96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3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3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第三方软件测试和安全测评</w:t>
            </w:r>
          </w:p>
        </w:tc>
        <w:tc>
          <w:tcPr>
            <w:tcW w:type="dxa" w:w="13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开源组件与数据合规清单</w:t>
            </w:r>
          </w:p>
        </w:tc>
        <w:tc>
          <w:tcPr>
            <w:tcW w:type="dxa" w:w="13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</w:tbl>
    <w:p>
      <w:pPr>
        <w:spacing w:after="0"/>
      </w:pPr>
    </w:p>
    <w:p>
      <w:pPr>
        <w:pStyle w:val="Heading2"/>
      </w:pPr>
      <w:r>
        <w:t>6.1 财务与资源约束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资源项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政策要求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企业现状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缺口</w:t>
            </w:r>
          </w:p>
        </w:tc>
        <w:tc>
          <w:tcPr>
            <w:tcW w:type="dxa" w:w="209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解决方案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营业收入与增长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资产负债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项目投资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人员与设备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6.2 任务排序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一级：不完成即不能申报或不能通过复核。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二级：直接影响评分、成熟度或竞争力。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三级：软提升项和长期能力建设。</w:t>
      </w:r>
    </w:p>
    <w:p>
      <w:pPr>
        <w:pStyle w:val="Heading1"/>
        <w:pageBreakBefore/>
      </w:pPr>
      <w:r>
        <w:t>附录 B、风险、决策与提交前复核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1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60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控制措施</w:t>
            </w:r>
          </w:p>
        </w:tc>
        <w:tc>
          <w:tcPr>
            <w:tcW w:type="dxa" w:w="102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政策版本风险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硬门槛风险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证据真实性风险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数据口径风险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评分竞争风险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7.1 最终决策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决策结论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［填写建议申报、培育后申报、转下一年度或暂缓；同时写明三项关键依据和剩余不确定性。］</w:t>
            </w:r>
          </w:p>
        </w:tc>
      </w:tr>
    </w:tbl>
    <w:p>
      <w:pPr>
        <w:spacing w:after="0"/>
      </w:pPr>
    </w:p>
    <w:p>
      <w:pPr>
        <w:pStyle w:val="Heading2"/>
      </w:pPr>
      <w:r>
        <w:t>7.2 提交前检查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45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复核人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政策版本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办法、年度通知、指南和表单版本一致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核心条件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每项均有原文位置、企业数据和证据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数据一致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申请书、审计、台账、合同发票和附件口径一致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申报对象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产品、技术、知识产权和收入边界一致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时间节点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内部截止早于官方截止并留出补正时间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附件完整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目录、命名、签章、日期和页码完整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报告边界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本报告用于申报决策和实施管理。政策、截止日期和企业数据在正式提交前必须重新核验；未核验信息不得写成已满足。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180"/>
        <w:sz w:val="17"/>
      </w:rPr>
      <w:t xml:space="preserve"/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471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F14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51C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48A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7F14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首版次软件项目申报可行性分析报告</dc:title>
  <dc:subject>政府项目双报告培训模板</dc:subject>
  <dc:creator/>
  <cp:keywords/>
  <dc:description>正文可编辑；未设置文档加密或编辑限制。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