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绿色工厂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用户未说明层级时需确认国家、省级、市级或区县版本；指标年度和工厂边界必须统一。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确认国家、省市或区县版本 → 绿色制造评价边界 → 指标采集 → 第三方评价或自评价 → 推荐公示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绿色工厂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工厂主体、行业和建设运行年限符合当期申报范围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能源消耗、单位产品能耗及清洁能源使用数据可核算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水、原材料和包装等资源投入及利用效率数据可核算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主要产品生态设计、绿色属性或有害物质控制资料完整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污染物、温室气体和固体废物绩效数据满足评价要求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能源、环境、质量和职业健康等管理体系按当期要求运行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基础设施、管理体系、能源资源投入、产品、环境排放及绩效改进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前期报告只列能够量化和取证的绿色指标；可行性报告再按当期评价表逐项计分。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基础设施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管理体系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能源与资源投入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环境排放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综合绩效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厂区边界和建筑资料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能源资源台账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产量和单位产品指标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排放与固废数据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体系证书和运行记录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绿色改造项目资料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能源审计或碳盘查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绿色制造体系和节能降碳改造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能源审计或碳盘查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绿色制造体系和节能降碳改造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绿色工厂项目申报可行性分析报告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