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专精特新“小巨人”企业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先核对专精特新中小企业认定批次、有效期和复核年度，再锁定小巨人当期通知与申请书版本。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专精特新中小企业有效期管理 → 小巨人培育差距表 → 申报或复核 → 两年任务包 → 申报体检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专精特新“小巨人”企业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企业属于有效期内专精特新中小企业并满足当期前置要求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细分市场从业年限和主营业务收入占比满足现行要求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资产负债率、主营业务收入增长或净利润等财务指标满足现行口径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研发费用金额、研发费用率、研发人员占比及研发机构满足适用路径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有效知识产权数量、类别及与主导产品关联满足现行创新要求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主导产品细分市场地位和产业链关键作用有可核验证据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主导产品、细分市场专注度、创新能力、产业链配套价值及质量提升项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主导产品、专利、补短板、填空白和财务口径必须跨章节一致；复核项目要优先确保有效期延续。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精细化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特色化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产业链配套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质量提升项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主导产品边界、收入占比、客户和细分市场口径底稿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发明专利、PCT、标准、检测、认证及产品技术文件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研发机构、人员、设备、项目、投入和成果转化资料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产业链补短板、填空白或国产替代的技术因果链资料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数字化诊断、质量管理成熟度及国际认证资料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围绕主导产品形成核心配方、工艺、部件、装备或软件的专利组合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围绕主导产品形成核心配方、工艺、部件、装备或软件的专利组合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专精特新“小巨人”企业项目申报可行性分析报告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