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专精特新“小巨人”企业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先核对专精特新中小企业认定批次、有效期和复核年度，再锁定小巨人当期通知与申请书版本。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企业属于有效期内专精特新中小企业并满足当期前置要求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细分市场从业年限和主营业务收入占比满足现行要求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资产负债率、主营业务收入增长或净利润等财务指标满足现行口径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研发费用金额、研发费用率、研发人员占比及研发机构满足适用路径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有效知识产权数量、类别及与主导产品关联满足现行创新要求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主导产品细分市场地位和产业链关键作用有可核验证据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主导产品、细分市场专注度、创新能力、产业链配套价值及质量提升项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主导产品、专利、补短板、填空白和财务口径必须跨章节一致；复核项目要优先确保有效期延续。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专精特新中小企业有效期管理 → 小巨人培育差距表 → 申报或复核 → 两年任务包 → 申报体检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专精特新“小巨人”企业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围绕主导产品形成核心配方、工艺、部件、装备或软件的专利组合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主导产品边界、收入占比、客户和细分市场口径底稿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发明专利、PCT、标准、检测、认证及产品技术文件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研发机构、人员、设备、项目、投入和成果转化资料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产业链补短板、填空白或国产替代的技术因果链资料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数字化诊断、质量管理成熟度及国际认证资料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专精特新“小巨人”企业项目前期评估报告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