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精品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只说制造精品时，应确认省级、市级或区县版本；不同地区目录和评分不可混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申报产品符合当期产业领域、区域和经营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已形成稳定生产和市场销售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技术、质量或性能指标达到当期评价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拥有自主知识产权并形成技术支撑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销售、市场占有、客户或品牌指标满足申报口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管理、标准、检测和认证资料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产品的技术质量、市场表现、品牌、标准、知识产权和制造能力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评价对象是单一产品或产品系列，不把企业整体能力代替产品证据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市区县版本 → 产品边界锁定 → 技术质量与市场证据核验 → 材料补强 → 评审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精品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标准与第三方检测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、质量和客户应用证据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品技术规格和检测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销售收入与市场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知识产权关联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标准与认证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质量管理和生产过程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精品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