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科技计划类项目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科技计划原有分析逻辑保持不变；用户表述模糊时先确认国家、省级、市级或区县项目及具体指南方向。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申报单位、联合单位和负责人符合指南主体要求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项目研究内容准确命中指南方向和支持边界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前期研发基础、团队、场地设备和知识产权能够支撑实施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关键技术指标、阶段目标和验收成果可量化验证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项目周期、总投资、自筹资金和财政资金预算符合要求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合作协议、知识产权归属和成果转化安排清晰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指南方向匹配、技术问题、研发基础、任务指标、预算和成果产业化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可行性报告围绕指南和任务书展开，不改变尖兵领雁、市级重大及既有科技计划分析逻辑。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确认项目层级与指南方向 → 申报主体资格 → 技术路线和任务书 → 预算合规 → 专家评审与立项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科技计划类项目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技术查新或科技咨询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任务指标检测方案和项目预算底稿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指南逐条对应表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技术查新和现有成果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团队与研发条件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任务指标测试方法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预算测算和自筹证明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合作与成果转化协议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科技计划类项目项目前期评估报告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