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制造业单项冠军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用户未说明层级时需确认国家、省级或市级版本；市场份额口径必须与政策定义一致。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确认国家、省级或市级版本 → 产品边界和细分市场锁定 → 市占率证据 → 创新质量补强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制造业单项冠军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企业长期专注于制造业特定细分产品领域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单项产品收入及其占主营业务收入比例满足现行要求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细分产品市场占有率或行业地位满足对应层级要求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研发投入、研发机构、知识产权和技术创新满足现行要求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产品质量、关键性能、品牌和标准达到先进水平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经营效益、国际化或产业链影响满足当期评价要求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长期专注的制造业细分产品、市场地位、创新能力、质量效益和全球化经营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可行性报告必须独立审查产品边界和市场份额分母，不能只引用宣传性排名。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专业发展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市场地位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质量效益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产业链作用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产品收入专项口径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市场份额测算与第三方来源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研发投入和研发机构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专利标准认证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主要客户和全球销售资料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制造业单项冠军项目申报可行性分析报告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