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业单项冠军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或市级版本；市场份额口径必须与政策定义一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长期专注于制造业特定细分产品领域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单项产品收入及其占主营业务收入比例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产品市场占有率或行业地位满足对应层级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、研发机构、知识产权和技术创新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质量、关键性能、品牌和标准达到先进水平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经营效益、国际化或产业链影响满足当期评价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长期专注的制造业细分产品、市场地位、创新能力、质量效益和全球化经营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独立审查产品边界和市场份额分母，不能只引用宣传性排名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级或市级版本 → 产品边界和细分市场锁定 → 市占率证据 → 创新质量补强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业单项冠军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占有率专项论证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认证、PCT专利和海外市场证据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品收入专项口径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市场份额测算与第三方来源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投入和研发机构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专利标准认证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主要客户和全球销售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业单项冠军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