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专精特新中小企业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先确认申报省市及当期通知；认定与复核年度分别核对有效期和截止日期。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创新型中小企业评价 → 专精特新中小企业申报或复核 → 培育期补强 → 小巨人储备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专精特新中小企业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企业规模及行业范围符合中小企业划型和当期申报范围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从事特定细分市场年限满足现行评价或认定标准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上年度营业收入、研发费用金额及研发费用率满足适用路径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主导产品收入占营业收入比例满足现行专业化指标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专业化、精细化、特色化和创新能力评价达到现行分值要求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企业已完成创新型中小企业评价或满足当期通知规定的前置条件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专业化、精细化、特色化、创新能力及企业基础条件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前期报告保持清爽；可行性报告按当期评分表逐项计算，未核验的加分项只写待补强。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专业化指标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精细化指标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特色化指标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创新能力指标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主导产品收入专项口径表、合同发票和总账明细账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研发费用、人员、研发项目和成果转化资料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知识产权、标准、质量体系、产品认证和品牌资料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数字化系统、设备联网、数据应用和安全管理资料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专精特新中小企业项目申报可行性分析报告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