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中小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确认申报省市及当期通知；认定与复核年度分别核对有效期和截止日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规模及行业范围符合中小企业划型和当期申报范围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从事特定细分市场年限满足现行评价或认定标准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上年度营业收入、研发费用金额及研发费用率满足适用路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指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、精细化、特色化和创新能力评价达到现行分值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已完成创新型中小企业评价或满足当期通知规定的前置条件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业化、精细化、特色化、创新能力及企业基础条件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保持清爽；可行性报告按当期评分表逐项计算，未核验的加分项只写待补强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创新型中小企业评价 → 专精特新中小企业申报或复核 → 培育期补强 → 小巨人储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中小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：五个一级维度、全国与同行对标、优势短板及提升路径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作为质量提升任务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主导产品收入专项口径表、合同发票和总账明细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费用、人员、研发项目和成果转化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知识产权、标准、质量体系、产品认证和品牌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数字化系统、设备联网、数据应用和安全管理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中小企业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