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0"/>
      </w:pPr>
    </w:p>
    <w:p>
      <w:pPr>
        <w:widowControl/>
        <w:spacing w:before="0" w:after="280" w:line="240" w:lineRule="auto"/>
        <w:jc w:val="center"/>
      </w:pPr>
      <w:r>
        <w:rPr>
          <w:rFonts w:ascii="Arial Unicode MS" w:hAnsi="Arial Unicode MS" w:eastAsia="Arial Unicode MS" w:cs="Arial Unicode MS"/>
          <w:b/>
          <w:color w:val="B98532"/>
          <w:sz w:val="20"/>
        </w:rPr>
        <w:t>FOCUS GUIDE  /  0.2.0</w:t>
      </w:r>
    </w:p>
    <w:p>
      <w:pPr>
        <w:widowControl/>
        <w:spacing w:before="0" w:after="160" w:line="245" w:lineRule="auto"/>
        <w:jc w:val="center"/>
      </w:pPr>
      <w:r>
        <w:rPr>
          <w:rFonts w:ascii="Arial Unicode MS" w:hAnsi="Arial Unicode MS" w:eastAsia="Arial Unicode MS" w:cs="Arial Unicode MS"/>
          <w:b/>
          <w:color w:val="132B3A"/>
          <w:sz w:val="56"/>
        </w:rPr>
        <w:t>企业全生命周期助手</w:t>
      </w:r>
    </w:p>
    <w:p>
      <w:pPr>
        <w:widowControl/>
        <w:spacing w:before="0" w:after="160" w:line="259" w:lineRule="auto"/>
        <w:jc w:val="center"/>
      </w:pPr>
      <w:r>
        <w:rPr>
          <w:rFonts w:ascii="Arial Unicode MS" w:hAnsi="Arial Unicode MS" w:eastAsia="Arial Unicode MS" w:cs="Arial Unicode MS"/>
          <w:b/>
          <w:color w:val="2E74B5"/>
          <w:sz w:val="36"/>
        </w:rPr>
        <w:t>Skills 管理器 0.2.0 用户手册</w:t>
      </w:r>
    </w:p>
    <w:p>
      <w:pPr>
        <w:widowControl/>
        <w:spacing w:before="0" w:after="600" w:line="276" w:lineRule="auto"/>
        <w:jc w:val="center"/>
      </w:pPr>
      <w:r>
        <w:rPr>
          <w:rFonts w:ascii="Arial Unicode MS" w:hAnsi="Arial Unicode MS" w:eastAsia="Arial Unicode MS" w:cs="Arial Unicode MS"/>
          <w:color w:val="66717C"/>
          <w:sz w:val="22"/>
        </w:rPr>
        <w:t>macOS 与 Windows · Agent 扫描 · 一键导入 · 可恢复更新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0" w:line="252" w:lineRule="auto"/>
            </w:pPr>
            <w:r>
              <w:rPr>
                <w:rFonts w:ascii="Arial Unicode MS" w:hAnsi="Arial Unicode MS" w:eastAsia="Arial Unicode MS" w:cs="Arial Unicode MS"/>
                <w:b/>
                <w:color w:val="B98532"/>
                <w:sz w:val="21"/>
              </w:rPr>
              <w:t>先记住三件事</w:t>
            </w:r>
          </w:p>
          <w:p>
            <w:pPr>
              <w:widowControl/>
              <w:spacing w:before="0" w:after="0" w:line="252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管理器版本与 Skills 内容版本相互独立。当前管理器为 0.2.0，正式 Skills 为 V1.4.0，共 49 项。桌面客户端采用未签名本机授权分发；应用身份与 Skills 内容验真是两条独立信任链。系统或企业策略不允许未签名应用时，继续使用 HTTPS PWA，不关闭系统防护。</w:t>
            </w:r>
          </w:p>
        </w:tc>
      </w:tr>
    </w:tbl>
    <w:p>
      <w:pPr>
        <w:spacing w:before="360" w:after="200" w:line="276" w:lineRule="auto"/>
        <w:jc w:val="center"/>
      </w:pPr>
      <w:r>
        <w:rPr>
          <w:rFonts w:ascii="Arial Unicode MS" w:hAnsi="Arial Unicode MS" w:eastAsia="Arial Unicode MS" w:cs="Arial Unicode MS"/>
          <w:b/>
          <w:color w:val="132B3A"/>
          <w:sz w:val="23"/>
        </w:rPr>
        <w:t>下载  ·  校验  ·  本机授权  ·  扫描  ·  导入  ·  验收</w:t>
      </w:r>
    </w:p>
    <w:p>
      <w:pPr>
        <w:widowControl/>
        <w:spacing w:before="0" w:after="0" w:line="276" w:lineRule="auto"/>
        <w:jc w:val="center"/>
      </w:pPr>
      <w:r>
        <w:rPr>
          <w:rFonts w:ascii="Arial Unicode MS" w:hAnsi="Arial Unicode MS" w:eastAsia="Arial Unicode MS" w:cs="Arial Unicode MS"/>
          <w:color w:val="66717C"/>
          <w:sz w:val="19"/>
        </w:rPr>
        <w:t>适用：macOS arm64 / x64，Windows x64  ·  更新日期：2026 年 7 月 30 日</w:t>
      </w:r>
    </w:p>
    <w:p>
      <w:pPr>
        <w:sectPr>
          <w:headerReference w:type="default" r:id="rId9"/>
          <w:footerReference w:type="default" r:id="rId10"/>
          <w:headerReference w:type="first" r:id="rId11"/>
          <w:footerReference w:type="first" r:id="rId12"/>
          <w:headerReference w:type="even" r:id="rId21"/>
          <w:pgSz w:w="12240" w:h="15840"/>
          <w:pgMar w:top="1440" w:right="1440" w:bottom="1440" w:left="1440" w:header="708" w:footer="708" w:gutter="0"/>
          <w:cols w:space="720"/>
          <w:titlePg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1  安装桌面客户端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1F0"/>
          <w:left w:val="single" w:sz="4" w:space="0" w:color="FFF1F0"/>
          <w:bottom w:val="single" w:sz="4" w:space="0" w:color="FFF1F0"/>
          <w:right w:val="single" w:sz="4" w:space="0" w:color="FFF1F0"/>
          <w:insideH w:val="single" w:sz="4" w:space="0" w:color="FFF1F0"/>
          <w:insideV w:val="single" w:sz="4" w:space="0" w:color="FFF1F0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1F0"/>
          </w:tcPr>
          <w:p>
            <w:pPr>
              <w:widowControl/>
              <w:spacing w:before="0" w:after="0" w:line="252" w:lineRule="auto"/>
            </w:pPr>
            <w:r>
              <w:rPr>
                <w:rFonts w:ascii="Arial Unicode MS" w:hAnsi="Arial Unicode MS" w:eastAsia="Arial Unicode MS" w:cs="Arial Unicode MS"/>
                <w:b/>
                <w:color w:val="9B1C1C"/>
                <w:sz w:val="21"/>
              </w:rPr>
              <w:t>本地授权版的含义</w:t>
            </w:r>
          </w:p>
          <w:p>
            <w:pPr>
              <w:widowControl/>
              <w:spacing w:before="0" w:after="0" w:line="252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安装包不含 Apple Developer ID、公证或 Windows Authenticode 签名。用户只能在确认下载来源、文件名、SHA-256 与发布审计后，按本机系统允许的入口继续。管理员权限只负责本机提权，不会把未知发布者变成可信发布者。</w:t>
            </w:r>
          </w:p>
        </w:tc>
      </w:tr>
    </w:tbl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下载前先核对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选择本机架构。 </w:t>
      </w:r>
      <w:r>
        <w:rPr>
          <w:rFonts w:ascii="Arial Unicode MS" w:hAnsi="Arial Unicode MS" w:eastAsia="Arial Unicode MS" w:cs="Arial Unicode MS"/>
          <w:color w:val="17212B"/>
          <w:sz w:val="22"/>
        </w:rPr>
        <w:t>Apple Silicon 选择 macOS arm64；Intel Mac 选择 macOS x64；Windows 选择 x64。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确认文件名。 </w:t>
      </w:r>
      <w:r>
        <w:rPr>
          <w:rFonts w:ascii="Arial Unicode MS" w:hAnsi="Arial Unicode MS" w:eastAsia="Arial Unicode MS" w:cs="Arial Unicode MS"/>
          <w:color w:val="17212B"/>
          <w:sz w:val="22"/>
        </w:rPr>
        <w:t>正式本地授权包名称必须包含 unsigned-local，版本必须为 0.2.0。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核对完整性。 </w:t>
      </w:r>
      <w:r>
        <w:rPr>
          <w:rFonts w:ascii="Arial Unicode MS" w:hAnsi="Arial Unicode MS" w:eastAsia="Arial Unicode MS" w:cs="Arial Unicode MS"/>
          <w:color w:val="17212B"/>
          <w:sz w:val="22"/>
        </w:rPr>
        <w:t>按发布页说明比对 SHA256SUMS.txt 与 release-audit.json；任一不一致立即停止。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macOS 与 Windows 操作差异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300"/>
        <w:gridCol w:w="4030"/>
        <w:gridCol w:w="4030"/>
      </w:tblGrid>
      <w:tr>
        <w:trPr>
          <w:cantSplit w:val="1"/>
          <w:tblHeader w:val="true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环节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macOS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Windows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首次打开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双击 DMG，将应用放入“应用程序”。若被阻止，到“系统设置 → 隐私与安全性”选择“仍要打开”，再完成本机认证。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运行 EXE。系统策略允许时，可在 SmartScreen 中选择“更多信息 → 仍要运行”。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不要做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不要删除隔离属性，不要关闭 Gatekeeper，不要运行来源不明的终端命令。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不要关闭 Smart App Control、杀毒软件或组织策略，不要把 UAC 提示当成发布者证明。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完全阻止时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继续使用门户 HTTPS PWA，或等待取得 Developer ID 的签名版。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继续使用门户 HTTPS PWA；企业设备应联系管理员确认策略，不尝试绕过。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4F6F9"/>
          <w:left w:val="single" w:sz="4" w:space="0" w:color="F4F6F9"/>
          <w:bottom w:val="single" w:sz="4" w:space="0" w:color="F4F6F9"/>
          <w:right w:val="single" w:sz="4" w:space="0" w:color="F4F6F9"/>
          <w:insideH w:val="single" w:sz="4" w:space="0" w:color="F4F6F9"/>
          <w:insideV w:val="single" w:sz="4" w:space="0" w:color="F4F6F9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4F6F9"/>
          </w:tcPr>
          <w:p>
            <w:pPr>
              <w:widowControl/>
              <w:spacing w:before="0" w:after="0" w:line="252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21"/>
              </w:rPr>
              <w:t>现有用户不受影响</w:t>
            </w:r>
          </w:p>
          <w:p>
            <w:pPr>
              <w:widowControl/>
              <w:spacing w:before="0" w:after="0" w:line="252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安装管理器 0.2.0 不会强制升级 49 项 Skills，不会改变已有 WorkBuddy 插件、设备绑定、MCP 凭据或旧下载地址。同一台 Mac 或 Windows 已绑定团队知识库时，正常情况下继续复用现有设备凭据。</w:t>
            </w:r>
          </w:p>
        </w:tc>
      </w:tr>
    </w:tbl>
    <w:p>
      <w:pPr>
        <w:sectPr>
          <w:headerReference w:type="default" r:id="rId13"/>
          <w:footerReference w:type="default" r:id="rId1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2  扫描 Agent 与一键导入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E8EEF5"/>
          <w:left w:val="single" w:sz="4" w:space="0" w:color="E8EEF5"/>
          <w:bottom w:val="single" w:sz="4" w:space="0" w:color="E8EEF5"/>
          <w:right w:val="single" w:sz="4" w:space="0" w:color="E8EEF5"/>
          <w:insideH w:val="single" w:sz="4" w:space="0" w:color="E8EEF5"/>
          <w:insideV w:val="single" w:sz="4" w:space="0" w:color="E8EEF5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52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21"/>
              </w:rPr>
              <w:t>扫描由用户主动触发</w:t>
            </w:r>
          </w:p>
          <w:p>
            <w:pPr>
              <w:widowControl/>
              <w:spacing w:before="0" w:after="0" w:line="252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只有点击“扫描本机 Agent”后才开始。扫描范围限于系统应用目录、常见用户安装目录和已配置命令位置；不读取项目正文、客户资料、聊天记录或用户文档。正式平台扫描只识别 WorkBuddy。</w:t>
            </w:r>
          </w:p>
        </w:tc>
      </w:tr>
    </w:tbl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标准操作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连接发布门户。 </w:t>
      </w:r>
      <w:r>
        <w:rPr>
          <w:rFonts w:ascii="Arial Unicode MS" w:hAnsi="Arial Unicode MS" w:eastAsia="Arial Unicode MS" w:cs="Arial Unicode MS"/>
          <w:color w:val="17212B"/>
          <w:sz w:val="22"/>
        </w:rPr>
        <w:t>使用已有设备凭据连接；管理员调试时才使用管理员令牌。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点击扫描。 </w:t>
      </w:r>
      <w:r>
        <w:rPr>
          <w:rFonts w:ascii="Arial Unicode MS" w:hAnsi="Arial Unicode MS" w:eastAsia="Arial Unicode MS" w:cs="Arial Unicode MS"/>
          <w:color w:val="17212B"/>
          <w:sz w:val="22"/>
        </w:rPr>
        <w:t>总览或平台页均可重新扫描，结果会显示命中路径、耗时与适配器 revision。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选择产物。 </w:t>
      </w:r>
      <w:r>
        <w:rPr>
          <w:rFonts w:ascii="Arial Unicode MS" w:hAnsi="Arial Unicode MS" w:eastAsia="Arial Unicode MS" w:cs="Arial Unicode MS"/>
          <w:color w:val="17212B"/>
          <w:sz w:val="22"/>
        </w:rPr>
        <w:t>根据宿主能力选择通用版或 WorkBuddy 跨平台版。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预览计划。 </w:t>
      </w:r>
      <w:r>
        <w:rPr>
          <w:rFonts w:ascii="Arial Unicode MS" w:hAnsi="Arial Unicode MS" w:eastAsia="Arial Unicode MS" w:cs="Arial Unicode MS"/>
          <w:color w:val="17212B"/>
          <w:sz w:val="22"/>
        </w:rPr>
        <w:t>管理器列出新增、替换和冲突。发现未登记的同名目录时自动阻断覆盖。</w:t>
      </w:r>
    </w:p>
    <w:p>
      <w:pPr>
        <w:numPr>
          <w:ilvl w:val="0"/>
          <w:numId w:val="11"/>
        </w:numPr>
        <w:spacing w:after="12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确认导入。 </w:t>
      </w:r>
      <w:r>
        <w:rPr>
          <w:rFonts w:ascii="Arial Unicode MS" w:hAnsi="Arial Unicode MS" w:eastAsia="Arial Unicode MS" w:cs="Arial Unicode MS"/>
          <w:color w:val="17212B"/>
          <w:sz w:val="22"/>
        </w:rPr>
        <w:t>只向已确认的用户级 Skills 目录写入已验签内容，不请求修改未知平台数据库。</w:t>
      </w:r>
    </w:p>
    <w:p>
      <w:pPr>
        <w:numPr>
          <w:ilvl w:val="0"/>
          <w:numId w:val="11"/>
        </w:numPr>
        <w:spacing w:after="120" w:line="300" w:lineRule="auto" w:before="240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回到 Agent 验收。 </w:t>
      </w:r>
      <w:r>
        <w:rPr>
          <w:rFonts w:ascii="Arial Unicode MS" w:hAnsi="Arial Unicode MS" w:eastAsia="Arial Unicode MS" w:cs="Arial Unicode MS"/>
          <w:color w:val="17212B"/>
          <w:sz w:val="22"/>
        </w:rPr>
        <w:t>新建会话，确认 49 项目录可见，并抽样调用一个文档或知识库能力。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两个正式产物的当前动作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450"/>
        <w:gridCol w:w="1800"/>
        <w:gridCol w:w="2800"/>
        <w:gridCol w:w="3310"/>
      </w:tblGrid>
      <w:tr>
        <w:trPr>
          <w:cantSplit w:val="1"/>
          <w:tblHeader w:val="true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平台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识别入口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管理器动作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用户最终动作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WorkBuddy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应用安装位置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准备并验签通用插件市场包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在 WorkBuddy 应用内添加市场、安装并启用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通用版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标准 Skills 入口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下载并验签通用 Skills 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按宿主标准入口导入并新建会话复验</w:t>
            </w:r>
          </w:p>
        </w:tc>
      </w:tr>
    </w:tbl>
    <w:p>
      <w:pPr>
        <w:sectPr>
          <w:headerReference w:type="default" r:id="rId15"/>
          <w:footerReference w:type="default" r:id="rId16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  WorkBuddy 与远程签名适配器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WorkBuddy 使用同一个跨平台包</w:t>
      </w:r>
    </w:p>
    <w:p>
      <w:pPr>
        <w:spacing w:line="252" w:lineRule="auto" w:after="0"/>
      </w:pPr>
      <w:r>
        <w:rPr>
          <w:rFonts w:ascii="Arial Unicode MS" w:hAnsi="Arial Unicode MS" w:eastAsia="Arial Unicode MS" w:cs="Arial Unicode MS"/>
          <w:color w:val="17212B"/>
          <w:sz w:val="22"/>
        </w:rPr>
        <w:t>macOS 与 Windows 不再分别发布 WorkBuddy 安装包，也不再运行固定 .command、.cmd、PowerShell 或外部 CLI。管理器只下载、验签并定位同一个跨平台插件市场 ZIP。V1.4.0 在签名 plugin.json 中内联声明 jiaotang-kb，不依赖插件根目录 .mcp.json，也不写用户级、项目级或全局 MCP 配置。</w:t>
      </w:r>
    </w:p>
    <w:p>
      <w:pPr>
        <w:numPr>
          <w:ilvl w:val="0"/>
          <w:numId w:val="12"/>
        </w:numPr>
        <w:spacing w:after="0" w:line="252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下载并验签。 </w:t>
      </w:r>
      <w:r>
        <w:rPr>
          <w:rFonts w:ascii="Arial Unicode MS" w:hAnsi="Arial Unicode MS" w:eastAsia="Arial Unicode MS" w:cs="Arial Unicode MS"/>
          <w:color w:val="17212B"/>
          <w:sz w:val="22"/>
        </w:rPr>
        <w:t>在平台页点击“准备安装”，等待签名与逐文件哈希通过。</w:t>
      </w:r>
    </w:p>
    <w:p>
      <w:pPr>
        <w:numPr>
          <w:ilvl w:val="0"/>
          <w:numId w:val="12"/>
        </w:numPr>
        <w:spacing w:after="0" w:line="252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定位并解压。 </w:t>
      </w:r>
      <w:r>
        <w:rPr>
          <w:rFonts w:ascii="Arial Unicode MS" w:hAnsi="Arial Unicode MS" w:eastAsia="Arial Unicode MS" w:cs="Arial Unicode MS"/>
          <w:color w:val="17212B"/>
          <w:sz w:val="22"/>
        </w:rPr>
        <w:t>打开 ZIP 位置，安全解压完整 jiaotang 市场。</w:t>
      </w:r>
    </w:p>
    <w:p>
      <w:pPr>
        <w:numPr>
          <w:ilvl w:val="0"/>
          <w:numId w:val="12"/>
        </w:numPr>
        <w:spacing w:after="0" w:line="252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持久保存。 </w:t>
      </w:r>
      <w:r>
        <w:rPr>
          <w:rFonts w:ascii="Arial Unicode MS" w:hAnsi="Arial Unicode MS" w:eastAsia="Arial Unicode MS" w:cs="Arial Unicode MS"/>
          <w:color w:val="17212B"/>
          <w:sz w:val="22"/>
        </w:rPr>
        <w:t>将完整市场保存到当前 WorkBuddy 实际用户目录的 plugins/marketplaces/jiaotang，不使用临时下载或临时解压目录。</w:t>
      </w:r>
    </w:p>
    <w:p>
      <w:pPr>
        <w:numPr>
          <w:ilvl w:val="0"/>
          <w:numId w:val="12"/>
        </w:numPr>
        <w:spacing w:after="0" w:line="252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添加本地市场。 </w:t>
      </w:r>
      <w:r>
        <w:rPr>
          <w:rFonts w:ascii="Arial Unicode MS" w:hAnsi="Arial Unicode MS" w:eastAsia="Arial Unicode MS" w:cs="Arial Unicode MS"/>
          <w:color w:val="17212B"/>
          <w:sz w:val="22"/>
        </w:rPr>
        <w:t>在 WorkBuddy 插件市场添加上述持久 jiaotang 目录；安装后不得清理该目录。</w:t>
      </w:r>
    </w:p>
    <w:p>
      <w:pPr>
        <w:numPr>
          <w:ilvl w:val="0"/>
          <w:numId w:val="12"/>
        </w:numPr>
        <w:spacing w:after="0" w:line="252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安装并启用。 </w:t>
      </w:r>
      <w:r>
        <w:rPr>
          <w:rFonts w:ascii="Arial Unicode MS" w:hAnsi="Arial Unicode MS" w:eastAsia="Arial Unicode MS" w:cs="Arial Unicode MS"/>
          <w:color w:val="17212B"/>
          <w:sz w:val="22"/>
        </w:rPr>
        <w:t>安装 jiaotang-workbuddy-skills@jiaotang；不关闭 WorkBuddy，不运行包外脚本。</w:t>
      </w:r>
    </w:p>
    <w:p>
      <w:pPr>
        <w:numPr>
          <w:ilvl w:val="0"/>
          <w:numId w:val="12"/>
        </w:numPr>
        <w:spacing w:after="0" w:line="252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填写 bootstrap。 </w:t>
      </w:r>
      <w:r>
        <w:rPr>
          <w:rFonts w:ascii="Arial Unicode MS" w:hAnsi="Arial Unicode MS" w:eastAsia="Arial Unicode MS" w:cs="Arial Unicode MS"/>
          <w:color w:val="17212B"/>
          <w:sz w:val="22"/>
        </w:rPr>
        <w:t>门户 API 页复制一次性地址并粘贴到敏感配置；同机已绑定时复用现有凭据。</w:t>
      </w:r>
    </w:p>
    <w:p>
      <w:pPr>
        <w:numPr>
          <w:ilvl w:val="0"/>
          <w:numId w:val="12"/>
        </w:numPr>
        <w:spacing w:after="0" w:line="252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检查连接。 </w:t>
      </w:r>
      <w:r>
        <w:rPr>
          <w:rFonts w:ascii="Arial Unicode MS" w:hAnsi="Arial Unicode MS" w:eastAsia="Arial Unicode MS" w:cs="Arial Unicode MS"/>
          <w:color w:val="17212B"/>
          <w:sz w:val="22"/>
        </w:rPr>
        <w:t>让 Agent 检查知识库连接状态，确认 MCP 工具列表可见，并成功调用任一只读状态或检索工具。</w:t>
      </w:r>
    </w:p>
    <w:p>
      <w:pPr>
        <w:numPr>
          <w:ilvl w:val="0"/>
          <w:numId w:val="12"/>
        </w:numPr>
        <w:spacing w:after="0" w:line="252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完成验收。 </w:t>
      </w:r>
      <w:r>
        <w:rPr>
          <w:rFonts w:ascii="Arial Unicode MS" w:hAnsi="Arial Unicode MS" w:eastAsia="Arial Unicode MS" w:cs="Arial Unicode MS"/>
          <w:color w:val="17212B"/>
          <w:sz w:val="22"/>
        </w:rPr>
        <w:t>连接成功后再安装 OCR、PDF、Word、PPT、Excel 和联网检索 Skills；确认插件启用且 49 项可见。</w:t>
      </w:r>
    </w:p>
    <w:p>
      <w:pPr>
        <w:spacing w:before="40" w:after="0" w:line="252" w:lineRule="auto"/>
        <w:ind w:left="317" w:right="317"/>
        <w:shd w:val="clear" w:fill="F4F6F9"/>
      </w:pPr>
      <w:r>
        <w:rPr>
          <w:rFonts w:ascii="Arial Unicode MS" w:hAnsi="Arial Unicode MS" w:eastAsia="Arial Unicode MS" w:cs="Arial Unicode MS"/>
          <w:color w:val="17212B"/>
          <w:sz w:val="18"/>
        </w:rPr>
        <w:t>/plugin marketplace add &lt;持久保存的 jiaotang 目录&gt;    →    安装 jiaotang-workbuddy-skills@jiaotang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远程适配器只更新数据，不下发命令</w:t>
      </w:r>
    </w:p>
    <w:p>
      <w:pPr>
        <w:numPr>
          <w:ilvl w:val="0"/>
          <w:numId w:val="13"/>
        </w:numPr>
        <w:spacing w:after="0" w:line="252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固定来源。 </w:t>
      </w:r>
      <w:r>
        <w:rPr>
          <w:rFonts w:ascii="Arial Unicode MS" w:hAnsi="Arial Unicode MS" w:eastAsia="Arial Unicode MS" w:cs="Arial Unicode MS"/>
          <w:color w:val="17212B"/>
          <w:sz w:val="22"/>
        </w:rPr>
        <w:t>只从焦糖门户读取平台清单、签名和签名元数据。</w:t>
      </w:r>
    </w:p>
    <w:p>
      <w:pPr>
        <w:numPr>
          <w:ilvl w:val="0"/>
          <w:numId w:val="13"/>
        </w:numPr>
        <w:spacing w:after="0" w:line="252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固定发布者。 </w:t>
      </w:r>
      <w:r>
        <w:rPr>
          <w:rFonts w:ascii="Arial Unicode MS" w:hAnsi="Arial Unicode MS" w:eastAsia="Arial Unicode MS" w:cs="Arial Unicode MS"/>
          <w:color w:val="17212B"/>
          <w:sz w:val="22"/>
        </w:rPr>
        <w:t>内置 Ed25519 公钥和指纹验签，namespace 与 identity 必须匹配。</w:t>
      </w:r>
    </w:p>
    <w:p>
      <w:pPr>
        <w:numPr>
          <w:ilvl w:val="0"/>
          <w:numId w:val="13"/>
        </w:numPr>
        <w:spacing w:after="0" w:line="252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严格 schema。 </w:t>
      </w:r>
      <w:r>
        <w:rPr>
          <w:rFonts w:ascii="Arial Unicode MS" w:hAnsi="Arial Unicode MS" w:eastAsia="Arial Unicode MS" w:cs="Arial Unicode MS"/>
          <w:color w:val="17212B"/>
          <w:sz w:val="22"/>
        </w:rPr>
        <w:t>只允许平台、能力、路径、说明和固定导入模式；命令、脚本、URL 与未知字段一律拒绝。</w:t>
      </w:r>
    </w:p>
    <w:p>
      <w:pPr>
        <w:numPr>
          <w:ilvl w:val="0"/>
          <w:numId w:val="13"/>
        </w:numPr>
        <w:spacing w:after="0" w:line="252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>版本保护。 新 revision 验证通过才缓存；失败时继续使用当前已验证版本或内置版本。只有新增可执行逻辑、私有 API 或扩大写入权限时，才升级管理器并重走双端发行门禁。</w:t>
      </w:r>
      <w:r>
        <w:rPr>
          <w:rFonts w:ascii="Arial Unicode MS" w:hAnsi="Arial Unicode MS" w:eastAsia="Arial Unicode MS" w:cs="Arial Unicode MS"/>
          <w:color w:val="17212B"/>
          <w:sz w:val="22"/>
        </w:rPr>
      </w:r>
    </w:p>
    <w:p>
      <w:pPr>
        <w:spacing w:line="252" w:lineRule="auto" w:after="0"/>
        <w:sectPr>
          <w:headerReference w:type="default" r:id="rId17"/>
          <w:footerReference w:type="default" r:id="rId18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4  安全、审计、回滚与验收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两条信任链要分开看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750"/>
        <w:gridCol w:w="3500"/>
        <w:gridCol w:w="4110"/>
      </w:tblGrid>
      <w:tr>
        <w:trPr>
          <w:cantSplit w:val="1"/>
          <w:tblHeader w:val="true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对象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门禁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结论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桌面应用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未签名本机授权；发布页提供版本、SHA-256 与发行审计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确认下载来源后，由用户按本机策略决定是否运行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Skills 下载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HTTPS 同源、发布通道 SHA-256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整体文件被替换时停止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发布者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固定 Ed25519 公钥、指纹、identity 与 namespace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签名不匹配时停止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包内内容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安全路径、解压上限、签名清单与逐文件 SHA-256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缺失、夹带或哈希不符时停止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平台适配器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签名、schema、兼容版本和 revision 保护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失败时不执行远程内容</w:t>
            </w:r>
          </w:p>
        </w:tc>
      </w:tr>
    </w:tbl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查看审计与执行回滚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在“安全中心”点击“打开审计日志”。日志记录扫描、适配器更新、包验签、导入与回滚的开始、结果和失败原因。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访问令牌、bootstrap、密码、设备私钥和其他敏感字段只记录为脱敏占位，不写入普通日志。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每次更新已托管目录前，旧内容进入同盘 backups；回滚前，当前版本先进入 displaced 恢复区。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未知同名目录默认视为冲突并阻断，不自动覆盖个人项目、第三方 Skills 或平台私有配置。</w:t>
      </w:r>
    </w:p>
    <w:p>
      <w:pPr>
        <w:pStyle w:val="Heading2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发布后验收清单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管理器“关于”或安全中心显示版本 0.2.0，Skills 清单显示 V1.4.0 与 49 项。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点击扫描后，平台数量、命中路径、耗时与适配器 revision 均有结果。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通用版下载、解压和导入计划没有未处理冲突；导入后新建会话能识别 Skills。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WorkBuddy 使用通用跨平台包，并在应用内完成市场添加、安装、启用与 bootstrap 配置。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审计日志存在本轮扫描、验签和导入事件；托管目录存在可恢复的回滚点。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系统或企业策略阻止未签名应用时，停止原生安装并改用 HTTPS PWA。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0" w:line="252" w:lineRule="auto"/>
            </w:pPr>
            <w:r>
              <w:rPr>
                <w:rFonts w:ascii="Arial Unicode MS" w:hAnsi="Arial Unicode MS" w:eastAsia="Arial Unicode MS" w:cs="Arial Unicode MS"/>
                <w:b/>
                <w:color w:val="B98532"/>
                <w:sz w:val="21"/>
              </w:rPr>
              <w:t>遇到问题先这样处理</w:t>
            </w:r>
          </w:p>
          <w:p>
            <w:pPr>
              <w:widowControl/>
              <w:spacing w:before="0" w:after="0" w:line="252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未发现平台：确认应用已安装后重新扫描，或改走平台官方导入界面。出现目录冲突：不要强制覆盖，先确认目录归属并备份。签名或 SHA-256 不一致：立即停止，不重新下载同名文件反复尝试。回滚记录缺失：不要手工删除当前目录，先从审计日志确认目标路径和上一次成功操作。</w:t>
            </w:r>
          </w:p>
        </w:tc>
      </w:tr>
    </w:tbl>
    <w:p>
      <w:pPr>
        <w:sectPr>
          <w:headerReference w:type="default" r:id="rId19"/>
          <w:footerReference w:type="default" r:id="rId20"/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rPr>
          <w:rFonts w:eastAsia="Arial Unicode MS"/>
        </w:rPr>
        <w:t>5  项目算法、交付契约与专利案卷</w:t>
      </w:r>
    </w:p>
    <w:p>
      <w:pPr>
        <w:pStyle w:val="Heading2"/>
      </w:pPr>
      <w:r>
        <w:rPr>
          <w:rFonts w:eastAsia="Arial Unicode MS"/>
        </w:rPr>
        <w:t>系统如何评估一家企业</w:t>
      </w:r>
    </w:p>
    <w:p>
      <w:pPr>
        <w:spacing w:line="276" w:lineRule="auto" w:after="40"/>
      </w:pPr>
      <w:r>
        <w:rPr>
          <w:rFonts w:eastAsia="Arial Unicode MS"/>
        </w:rPr>
        <w:t>1. 锚定企业主体和目标属地，识别标准项目名称、项目族和历史别名。</w:t>
      </w:r>
    </w:p>
    <w:p>
      <w:pPr>
        <w:spacing w:line="276" w:lineRule="auto" w:after="40"/>
      </w:pPr>
      <w:r>
        <w:rPr>
          <w:rFonts w:eastAsia="Arial Unicode MS"/>
        </w:rPr>
        <w:t>2. 选择正式判断、当年申报前准备、历史回放、预测或回测等政策时间类型。</w:t>
      </w:r>
    </w:p>
    <w:p>
      <w:pPr>
        <w:spacing w:line="276" w:lineRule="auto" w:after="40"/>
      </w:pPr>
      <w:r>
        <w:rPr>
          <w:rFonts w:eastAsia="Arial Unicode MS"/>
        </w:rPr>
        <w:t>3. 读取稳定管理办法、当年度通知、属地规则和适用的征求意见前瞻层。</w:t>
      </w:r>
    </w:p>
    <w:p>
      <w:pPr>
        <w:spacing w:line="276" w:lineRule="auto" w:after="40"/>
      </w:pPr>
      <w:r>
        <w:rPr>
          <w:rFonts w:eastAsia="Arial Unicode MS"/>
        </w:rPr>
        <w:t>4. 将企业事实送入项目规则树，执行叶节点阈值和 all/any 组合判断。</w:t>
      </w:r>
    </w:p>
    <w:p>
      <w:pPr>
        <w:spacing w:line="276" w:lineRule="auto" w:after="40"/>
      </w:pPr>
      <w:r>
        <w:rPr>
          <w:rFonts w:eastAsia="Arial Unicode MS"/>
        </w:rPr>
        <w:t>5. 输出符合、不符合、待补材料或当前无法判断，并列明政策来源与事实缺口。</w:t>
      </w:r>
    </w:p>
    <w:p>
      <w:pPr>
        <w:spacing w:line="276" w:lineRule="auto" w:after="40"/>
      </w:pPr>
      <w:r>
        <w:rPr>
          <w:rFonts w:eastAsia="Arial Unicode MS"/>
        </w:rPr>
        <w:t>系统不会因为政策库暂时未命中就断言项目不存在，也不会用省级政策替代必须由市、区县规则决定的结论。已核验且明确替代旧政策的征求意见稿，在申报尚未开放时作为准备与预测主基线，但始终标注为尚未正式生效。</w:t>
      </w:r>
    </w:p>
    <w:p>
      <w:pPr>
        <w:pStyle w:val="Heading2"/>
      </w:pPr>
      <w:r>
        <w:rPr>
          <w:rFonts w:eastAsia="Arial Unicode MS"/>
        </w:rPr>
        <w:t>企业项目身份数字孪生</w:t>
      </w:r>
    </w:p>
    <w:p>
      <w:pPr>
        <w:spacing w:line="276" w:lineRule="auto" w:after="40"/>
      </w:pPr>
      <w:r>
        <w:rPr>
          <w:rFonts w:eastAsia="Arial Unicode MS"/>
        </w:rPr>
        <w:t>系统把名单身份和规则判断分开保存。认定年度、认定时名称和认定时地区以名单原文为准；当前企业名称、统一社会信用代码、现注册地址和登记机关来自当前工商核验。更名、迁址、复评、复核、失效和重新认定形成独立生命周期事件，可以回放企业某一年为何具有某项身份。</w:t>
      </w:r>
    </w:p>
    <w:p>
      <w:pPr>
        <w:pStyle w:val="Heading2"/>
        <w:pageBreakBefore/>
      </w:pPr>
      <w:r>
        <w:rPr>
          <w:rFonts w:eastAsia="Arial Unicode MS"/>
        </w:rPr>
        <w:t>交付契约负责什么</w:t>
      </w:r>
    </w:p>
    <w:p>
      <w:pPr>
        <w:spacing w:line="276" w:lineRule="auto" w:after="40"/>
      </w:pPr>
      <w:r>
        <w:rPr>
          <w:rFonts w:eastAsia="Arial Unicode MS"/>
        </w:rPr>
        <w:t>算法负责项目规则、政策版本和企业事实判断；交付契约负责最终文件是否完整。不同报告类型分别约束必填章节、结论顺序、政策原文、企业事实、同行对比、证据台账、内置表格、数据口径、文件格式、焦糖品牌、Logo、水印、四问复盘和产物 SHA-256。</w:t>
      </w:r>
    </w:p>
    <w:p>
      <w:pPr>
        <w:spacing w:line="276" w:lineRule="auto" w:after="40"/>
      </w:pPr>
      <w:r>
        <w:rPr>
          <w:rFonts w:eastAsia="Arial Unicode MS"/>
        </w:rPr>
        <w:t>门禁失败时，自动修复器只生成缺失章节、表格、证据或重新渲染的精确任务，不会用一段“已完成”说明代替实际文件验收。</w:t>
      </w:r>
    </w:p>
    <w:p>
      <w:pPr>
        <w:pStyle w:val="Heading2"/>
      </w:pPr>
      <w:r>
        <w:rPr>
          <w:rFonts w:eastAsia="Arial Unicode MS"/>
        </w:rPr>
        <w:t>专利入口说明</w:t>
      </w:r>
    </w:p>
    <w:p>
      <w:pPr>
        <w:spacing w:line="276" w:lineRule="auto" w:after="40"/>
      </w:pPr>
      <w:r>
        <w:rPr>
          <w:rFonts w:eastAsia="Arial Unicode MS"/>
        </w:rPr>
        <w:t>专利任务先进入 jiaotang-patent-router，判断是查新、布局、挖掘、交底、预审、FTO、审查意见还是项目申报证据任务。需要检查中国专利申请 Word 文件时，再进入 checking-patdocx-cn-single-agent。授权、审中、失效和转让取得必须分别标注；FTO 和侵权预警仅作初筛。</w:t>
      </w:r>
    </w:p>
    <w:p>
      <w:pPr>
        <w:spacing w:line="276" w:lineRule="auto" w:after="40"/>
      </w:pPr>
      <w:r>
        <w:rPr>
          <w:rFonts w:eastAsia="Arial Unicode MS"/>
        </w:rPr>
        <w:t>完整申请文件先创建每案唯一的 patent-case-manifest，再从确认后的事实锁 JSON 通过同一个生成器形成申请 Word 和附图规范。交底、检索证据、权利要求现有技术矩阵、核稿验证、预审建议和提交清单均回写同一清单。提交前契约检查文件哈希、案件版本和依赖关系；阶段错版或缺失会生成具体重建任务。匿名测试夹具只用于升级回归，不能作为真实申请案卷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352544" cy="4352544"/>
          <wp:effectExtent l="0" t="0" r="0" b="0"/>
          <wp:wrapNone/>
          <wp:docPr id="1" name="Jiaotang Centered Watermark v3" descr="Jiaotang Centered Watermark v3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1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52544" cy="4352544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352544" cy="4352544"/>
          <wp:effectExtent l="0" t="0" r="0" b="0"/>
          <wp:wrapNone/>
          <wp:docPr id="1" name="Jiaotang Centered Watermark v3" descr="Jiaotang Centered Watermark v3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1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52544" cy="4352544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352544" cy="4352544"/>
          <wp:effectExtent l="0" t="0" r="0" b="0"/>
          <wp:wrapNone/>
          <wp:docPr id="1" name="Jiaotang Centered Watermark v3" descr="Jiaotang Centered Watermark v3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1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52544" cy="4352544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352544" cy="4352544"/>
          <wp:effectExtent l="0" t="0" r="0" b="0"/>
          <wp:wrapNone/>
          <wp:docPr id="1" name="Jiaotang Centered Watermark v3" descr="Jiaotang Centered Watermark v3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1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52544" cy="4352544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352544" cy="4352544"/>
          <wp:effectExtent l="0" t="0" r="0" b="0"/>
          <wp:wrapNone/>
          <wp:docPr id="1" name="Jiaotang Centered Watermark v3" descr="Jiaotang Centered Watermark v3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1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52544" cy="4352544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352544" cy="4352544"/>
          <wp:effectExtent l="0" t="0" r="0" b="0"/>
          <wp:wrapNone/>
          <wp:docPr id="1" name="Jiaotang Centered Watermark v3" descr="Jiaotang Centered Watermark v3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1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52544" cy="4352544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352544" cy="4352544"/>
          <wp:effectExtent l="0" t="0" r="0" b="0"/>
          <wp:wrapNone/>
          <wp:docPr id="1" name="Jiaotang Centered Watermark v3" descr="Jiaotang Centered Watermark v3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1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52544" cy="4352544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☐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Arial Unicode MS" w:hAnsi="Arial Unicode MS" w:eastAsia="Arial Unicode MS" w:cs="Arial Unicode MS"/>
      <w:b w:val="0"/>
      <w:color w:val="1721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eastAsia="Arial Unicode MS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eastAsia="Arial Unicode MS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eastAsia="Arial Unicode MS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eastAsia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52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59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eastAsia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eastAsia="Arial Unicode MS"/>
    </w:rPr>
  </w:style>
  <w:style w:type="table" w:default="1" w:styleId="TableNormal">
    <w:name w:val="Normal Table"/>
    <w:uiPriority w:val="99"/>
    <w:semiHidden/>
    <w:unhideWhenUsed/>
    <w:rPr>
      <w:rFonts w:eastAsia="Arial Unicode M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rFonts w:eastAsia="Arial Unicode MS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eastAsia="Arial Unicode M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Arial Unicode M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eastAsia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eastAsia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eastAsia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eastAsia="Arial Unicode M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eastAsia="Arial Unicode M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eastAsia="Arial Unicode MS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eastAsia="Arial Unicode M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eastAsia="Arial Unicode MS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Arial Unicode MS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eastAsia="Arial Unicode MS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eastAsia="Arial Unicode M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eastAsia="Arial Unicode M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eastAsia="Arial Unicode M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eastAsia="Arial Unicode M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eastAsia="Arial Unicode M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eastAsia="Arial Unicode M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eastAsia="Arial Unicode M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eastAsia="Arial Unicode M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eastAsia="Arial Unicode M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eastAsia="Arial Unicode M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eastAsia="Arial Unicode M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eastAsia="Arial Unicode M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 w:eastAsia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 w:eastAsia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eastAsia="Arial Unicode MS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="Arial Unicode MS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eastAsia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eastAsia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eastAsia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Arial Unicode MS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eastAsia="Arial Unicode MS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eastAsia="Arial Unicode MS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eastAsia="Arial Unicode MS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="Arial Unicode MS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eastAsia="Arial Unicode MS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eastAsia="Arial Unicode MS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eastAsia="Arial Unicode MS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eastAsia="Arial Unicode MS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eastAsia="Arial Unicode MS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eastAsia="Arial Unicode M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eastAsia="Arial Unicode M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eastAsia="Arial Unicode MS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eastAsia="Arial Unicode MS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eastAsia="Arial Unicode MS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eastAsia="Arial Unicode MS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eastAsia="Arial Unicode MS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eastAsia="Arial Unicode MS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eastAsia="Arial Unicode MS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eastAsia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eastAsia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eastAsia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eastAsia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eastAsia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eastAsia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eastAsia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eastAsia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eastAsia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Relationship Id="rId21" Type="http://schemas.openxmlformats.org/officeDocument/2006/relationships/header" Target="header7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企业全生命周期助手 Skills 管理器 0.2.0 用户手册</dc:title>
  <dc:subject>macOS 与 Windows 本地授权安装、Agent 扫描、一键导入与安全验收</dc:subject>
  <dc:creator>焦糖</dc:creator>
  <cp:keywords>Skills 管理器, Agent, WorkBuddy, macOS, Windows, 用户手册</cp:keywords>
  <dc:description>正式用户手册，适用管理器 0.2.0 与 Skills V1.3.1.6</dc:description>
  <cp:lastModifiedBy>焦糖</cp:lastModifiedBy>
  <cp:revision>1</cp:revision>
  <dcterms:created xsi:type="dcterms:W3CDTF">2013-12-23T23:15:00Z</dcterms:created>
  <dcterms:modified xsi:type="dcterms:W3CDTF">2013-12-23T23:15:00Z</dcterms:modified>
  <cp:category/>
</cp:coreProperties>
</file>