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A3E44E">
      <w:pPr>
        <w:pStyle w:val="2"/>
        <w:bidi w:val="0"/>
        <w:jc w:val="center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企业全生命周期助手用户使用手册</w:t>
      </w:r>
    </w:p>
    <w:p w14:paraId="120C37C3">
      <w:pPr>
        <w:pStyle w:val="6"/>
        <w:keepNext w:val="0"/>
        <w:keepLines w:val="0"/>
        <w:widowControl/>
        <w:suppressLineNumbers w:val="0"/>
        <w:ind w:left="720" w:right="720"/>
        <w:jc w:val="center"/>
        <w:rPr>
          <w:rFonts w:hint="eastAsia" w:asciiTheme="majorEastAsia" w:hAnsiTheme="majorEastAsia" w:eastAsiaTheme="majorEastAsia" w:cstheme="majorEastAsia"/>
          <w:lang w:val="en-US"/>
        </w:rPr>
      </w:pPr>
      <w:r>
        <w:rPr>
          <w:rStyle w:val="9"/>
          <w:rFonts w:hint="eastAsia" w:asciiTheme="majorEastAsia" w:hAnsiTheme="majorEastAsia" w:eastAsiaTheme="majorEastAsia" w:cstheme="majorEastAsia"/>
          <w:sz w:val="24"/>
          <w:szCs w:val="24"/>
        </w:rPr>
        <w:t>一个懂政策、税务、法律和专利的企业专业服务 Agent</w:t>
      </w:r>
    </w:p>
    <w:p w14:paraId="05B814DF">
      <w:pPr>
        <w:keepNext/>
        <w:bidi w:val="0"/>
        <w:spacing w:before="200" w:after="200"/>
        <w:jc w:val="center"/>
        <w:rPr>
          <w:rFonts w:hint="default" w:asciiTheme="majorEastAsia" w:hAnsiTheme="majorEastAsia" w:eastAsiaTheme="majorEastAsia" w:cstheme="majorEastAsia"/>
          <w:lang w:val="en-US"/>
        </w:rPr>
      </w:pPr>
      <w:r>
        <w:rPr>
          <w:rFonts w:hint="eastAsia" w:asciiTheme="majorEastAsia" w:hAnsiTheme="majorEastAsia" w:eastAsiaTheme="majorEastAsia" w:cstheme="majorEastAsia"/>
          <w:b/>
          <w:sz w:val="32"/>
        </w:rPr>
        <w:t>适用版本：V1.3.1</w:t>
      </w:r>
    </w:p>
    <w:p w14:paraId="15806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本手册面向共创团队成员。企业全生命周期助手由49个平台无关Skills、团队云端知识库、REST API和MCP组成，可导入支持Skills的Agent使用。</w:t>
      </w:r>
    </w:p>
    <w:p w14:paraId="5D0C97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自助注册</w:t>
      </w:r>
    </w:p>
    <w:p w14:paraId="757E5BE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1.打开团队网站，进入“注册账号”。</w:t>
      </w:r>
    </w:p>
    <w:p w14:paraId="043D8496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2.填写英文登录账号。账号长度为3至32位，可包含数字、点、下划线和连字符。</w:t>
      </w:r>
    </w:p>
    <w:p w14:paraId="740304C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3.填写中文真实姓名。</w:t>
      </w:r>
    </w:p>
    <w:p w14:paraId="7C5F43F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4.填写企业微信绑定手机号后四位。同名成员使用手机号后四位区分。</w:t>
      </w:r>
    </w:p>
    <w:p w14:paraId="41629AB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5.输入公司全称`共创集团`完成团队验证。</w:t>
      </w:r>
    </w:p>
    <w:p w14:paraId="70667B3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6.设置不少于9位的登录密码并提交。</w:t>
      </w:r>
    </w:p>
    <w:p w14:paraId="65F46B4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登录</w:t>
      </w:r>
    </w:p>
    <w:p w14:paraId="0E43F56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使用英文账号和密码登录。</w:t>
      </w:r>
    </w:p>
    <w:p w14:paraId="02094F9A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私人设备可勾选“七天自动登录”；公共电脑不建议勾选。</w:t>
      </w:r>
    </w:p>
    <w:p w14:paraId="3729D26E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登录后显示中文真实姓名，右上角菜单可进入账号安全或退出登录。</w:t>
      </w:r>
    </w:p>
    <w:p w14:paraId="417E84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下载与安装及使用方法</w:t>
      </w:r>
    </w:p>
    <w:p w14:paraId="6F5AB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安装Skills</w:t>
      </w:r>
    </w:p>
    <w:p w14:paraId="26C28EB1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登录网站，进入“Skills中心”，点击“选择安装平台”。</w:t>
      </w:r>
    </w:p>
    <w:p w14:paraId="6A598F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按宿主下载V1.3.1通用Skills ZIP或V1.3.1 WorkBuddy插件ZIP。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两种安装包的业务能力相同，不要重复安装。支持SKILL.md的Agent使用通用包；WorkBuddy用户使用插件包及随包一键安装器，并在安装前核对来源、SHA-256和撤销说明。</w:t>
      </w:r>
    </w:p>
    <w:p w14:paraId="32767AB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将`skills`文件夹拖入或导入当前Agent的Skills目录或工作区。</w:t>
      </w:r>
    </w:p>
    <w:p w14:paraId="216B79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在Agent中输入：</w:t>
      </w:r>
    </w:p>
    <w:p w14:paraId="528D8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  <w:lang w:eastAsia="zh-CN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“请检查企业全生命周期助手是否安装完整，并启动首次配置向导。”</w:t>
      </w:r>
    </w:p>
    <w:p w14:paraId="6E84E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若宿主不能直接识别`SKILL.md`，使用该平台自己的Skill导入或转换能力。</w:t>
      </w:r>
    </w:p>
    <w:p w14:paraId="55B63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首次安装后再输入：</w:t>
      </w:r>
    </w:p>
    <w:p w14:paraId="5EB1B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</w:t>
      </w:r>
      <w:r>
        <w:rPr>
          <w:rFonts w:hint="eastAsia" w:asciiTheme="majorEastAsia" w:hAnsiTheme="majorEastAsia" w:eastAsiaTheme="majorEastAsia" w:cstheme="majorEastAsia"/>
        </w:rPr>
        <w:t>帮我安装OCR、PDF、Word、PPT、Excel和联网检索这几个Skills</w:t>
      </w:r>
      <w:r>
        <w:rPr>
          <w:rFonts w:hint="eastAsia" w:asciiTheme="majorEastAsia" w:hAnsiTheme="majorEastAsia" w:eastAsiaTheme="majorEastAsia" w:cstheme="majorEastAsia"/>
          <w:lang w:eastAsia="zh-CN"/>
        </w:rPr>
        <w:t>”</w:t>
      </w:r>
    </w:p>
    <w:p w14:paraId="02C99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通用文档、OCR和联网能力由宿主Agent提供，不在企业全生命周期助手中重复打包。</w:t>
      </w:r>
    </w:p>
    <w:p w14:paraId="13DD1F9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连接团队知识库</w:t>
      </w:r>
    </w:p>
    <w:p w14:paraId="7E009DA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登录网站，进入“连接我的Agent”。</w:t>
      </w:r>
    </w:p>
    <w:p w14:paraId="3B30F23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点击“复制给Agent”，将网站生成的完整接入内容复制到当前本地Agent。</w:t>
      </w:r>
    </w:p>
    <w:p w14:paraId="4C824DB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普通成员无需查看、保存或转发个人API Key、设备私钥和MCP请求头；接入内容只交给本人的本地Agent处理。</w:t>
      </w:r>
    </w:p>
    <w:p w14:paraId="40991E9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将完整接入内容粘贴到Agent对话框，并要求运行`first-run-configuration`首次配置向导。</w:t>
      </w:r>
    </w:p>
    <w:p w14:paraId="3FD069D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Agent应自动完成设备登记、身份验证、REST连接、MCP工具列表和非敏感关键词检索。</w:t>
      </w:r>
    </w:p>
    <w:p w14:paraId="135D2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个人知识库凭据不是模型API Key。普通成员同一账号同时绑定一台设备；换机时先在门户执行“更换绑定设备”，再把新的配置交给新设备Agent。凭据返回401时重新复制完整接入内容并执行五步验收。</w:t>
      </w:r>
    </w:p>
    <w:p w14:paraId="764515B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完整验收</w:t>
      </w:r>
    </w:p>
    <w:p w14:paraId="78525B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可让Agent按以下顺序执行，不必把凭据发给管理员：</w:t>
      </w:r>
    </w:p>
    <w:p w14:paraId="6308296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1.`GET/v1/me`：返回当前英文登录账号。</w:t>
      </w:r>
    </w:p>
    <w:p w14:paraId="3737F4B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2.`POST/v1/search`：检索一个非敏感公开关键词。</w:t>
      </w:r>
    </w:p>
    <w:p w14:paraId="6958C1A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3.`GET/v1/documents/{id}`：读取上一步命中的文档。</w:t>
      </w:r>
    </w:p>
    <w:p w14:paraId="3CF890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4.`GET/v1/usage`：返回当前用户调用记录。</w:t>
      </w:r>
    </w:p>
    <w:p w14:paraId="38270E7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5.MCP初始化并读取工具列表，再调用知识服务状态或知识检索工具。</w:t>
      </w:r>
    </w:p>
    <w:p w14:paraId="0037C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五步全部成功才算REST与MCP完整端到端验收通过。仅打开网站或仅返回401不算通过。</w:t>
      </w:r>
    </w:p>
    <w:p w14:paraId="631ABC9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可选外部能力</w:t>
      </w:r>
    </w:p>
    <w:p w14:paraId="47153BC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</w:rPr>
        <w:t>企查查：增强工商、股权、风险和知识产权画像。通过网站保留的供应商入口注册，并按供应商说明配置API或MCP。</w:t>
      </w:r>
    </w:p>
    <w:p w14:paraId="5186469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BigQuery Patents：增强全球专利批量检索、同族和引证分析，按Google Cloud官方说明完成账号、项目和MCP配置。</w:t>
      </w:r>
    </w:p>
    <w:p w14:paraId="47B9B125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所有外部能力由统一首次配置向导检测，避免每个Skill重复配置。</w:t>
      </w:r>
    </w:p>
    <w:p w14:paraId="4D9510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能力边界</w:t>
      </w:r>
    </w:p>
    <w:p w14:paraId="652029B1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覆盖政府项目检索、匹配、体检、材料编写、高企申请书、企业分析、专利、法律法规、制造业财税风险和交付归档，但不承诺一定符合或一定获批。</w:t>
      </w:r>
    </w:p>
    <w:p w14:paraId="44CA042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政策结论必须区分规则层、动态层和官方原文，并核验现行、历史、废止、替代依据及当期通知。</w:t>
      </w:r>
    </w:p>
    <w:p w14:paraId="42A71945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云端知识库由管理员统一上传、修改、删除和重建索引；成员的地区政策增改删保存在本人本地工作区，不写入云端。</w:t>
      </w:r>
    </w:p>
    <w:p w14:paraId="69C368CD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无可靠数据时不推算企业财务，不以第三方过期数据替代客户材料。</w:t>
      </w:r>
    </w:p>
    <w:p w14:paraId="62EA4877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审中专利不能作为授权成果使用；专利任务必须区分有效授权、审中、失效和转让取得。</w:t>
      </w:r>
    </w:p>
    <w:p w14:paraId="7C9B370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专利检索、FTO和侵权预警属于初筛，不替代专利代理师或律师的正式意见。</w:t>
      </w:r>
    </w:p>
    <w:p w14:paraId="2A79A84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法律Skill可做法规检索、效力核验、公司法与项目合规自查，不替代执业律师针对具体交易、争议或诉讼出具的法律意见。</w:t>
      </w:r>
    </w:p>
    <w:p w14:paraId="2A2B8A5B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OCR结果不是天然准确，企业名称、名单序号、金额、日期和表格列必须抽样复核。</w:t>
      </w:r>
    </w:p>
    <w:p w14:paraId="58EDB399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当前检索层未命中只能说明“未命中”，不能据此断言资料或项目不存在。</w:t>
      </w:r>
    </w:p>
    <w:p w14:paraId="1F6C84B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常用指令</w:t>
      </w:r>
    </w:p>
    <w:p w14:paraId="37CB401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安装与连接</w:t>
      </w:r>
      <w:r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  <w:t>:</w:t>
      </w:r>
    </w:p>
    <w:p w14:paraId="6190EB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“请检查企业全生命周期助手是否安装完整，并启动首次配置向导。”</w:t>
      </w:r>
    </w:p>
    <w:p w14:paraId="2F512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“请测试团队知识库RESTAPI和MCP是否完整可用，并逐步报告/v1/me、检索、文档读取、用量和MCP工具调用结果。”</w:t>
      </w:r>
    </w:p>
    <w:p w14:paraId="67C1F98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  <w:t>企业与项目</w:t>
      </w:r>
    </w:p>
    <w:p w14:paraId="2C6849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“帮我出具这家企业全景分析报告，先列事实来源，再给风险和合作建议。”</w:t>
      </w:r>
    </w:p>
    <w:p w14:paraId="4747C5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“分析这家企业目前能申报哪些政府项目，按国家、省、市、区县分层，并给出未来五年规划。”</w:t>
      </w:r>
    </w:p>
    <w:p w14:paraId="12C5F4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“这家企业想申报研究院，请核验当前项目名称、现行政策、申报条件、差距和材料清单。”</w:t>
      </w:r>
    </w:p>
    <w:p w14:paraId="0ACDE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“查询这家企业同行中有哪些专精特新或小巨人企业，列出名单序号、批次、地区和原始来源。”</w:t>
      </w:r>
    </w:p>
    <w:p w14:paraId="33B302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“请对这家企业做高企申报前评估，比较今年与明年的硬门槛、成长性、三档评分和补强计划。”</w:t>
      </w:r>
    </w:p>
    <w:p w14:paraId="5261D6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“请先生成专</w:t>
      </w:r>
      <w:bookmarkStart w:id="0" w:name="_GoBack"/>
      <w:bookmarkEnd w:id="0"/>
      <w:r>
        <w:rPr>
          <w:rFonts w:hint="eastAsia" w:asciiTheme="majorEastAsia" w:hAnsiTheme="majorEastAsia" w:eastAsiaTheme="majorEastAsia" w:cstheme="majorEastAsia"/>
        </w:rPr>
        <w:t>精特新或小巨人申报前评分用的三年财务底表，待我回传并确认项目版本后再评分。”</w:t>
      </w:r>
    </w:p>
    <w:p w14:paraId="2264041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高新技术企业认定</w:t>
      </w:r>
    </w:p>
    <w:p w14:paraId="27AB2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</w:rPr>
        <w:t>“请按V1.3.1空白母版，使用我提供的企业、RD、知识产权、成果转化和PS资料撰写并回填高企申请书；缺失数据保留待核定，不得补造。”</w:t>
      </w:r>
    </w:p>
    <w:p w14:paraId="456FC0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 w:val="0"/>
        </w:rPr>
        <w:t>“请核稿这份高企申请书，检查RD、PS、技术领域、知识产权、成果转化、格式、占位符和逐页版式，并列出待企业确认事项。”</w:t>
      </w:r>
    </w:p>
    <w:p w14:paraId="3B658A1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专精特新和小巨人</w:t>
      </w:r>
    </w:p>
    <w:p w14:paraId="3DAF7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“请先识别并让我确认申请书项目类型和版本，再体检这份材料。”</w:t>
      </w:r>
    </w:p>
    <w:p w14:paraId="0BE5E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“按现行优质中小企业梯度培育管理办法，分析企业差距，并对主导产品、补短板、填空白、国产替代分别给出保留、替换或补证后保留结论。”</w:t>
      </w:r>
    </w:p>
    <w:p w14:paraId="27274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“严格按照包内产业链架构和工业六基目录匹配主导产品；没有直接分类时，给一个相似分类和一个分析判断分类。”</w:t>
      </w:r>
    </w:p>
    <w:p w14:paraId="67FEBB4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专利</w:t>
      </w:r>
    </w:p>
    <w:p w14:paraId="6045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“根据现有资料和项目要求，为这家企业规划10个专利方向，并说明每个方向与产品、技术问题和项目指标的关系。”</w:t>
      </w:r>
    </w:p>
    <w:p w14:paraId="03CA5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“对这项产品做FTO初筛，区分公开文本、授权文本和法律状态，并列出仍需人工核验的权利要求。”</w:t>
      </w:r>
    </w:p>
    <w:p w14:paraId="7DF8E2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“审查这份专利交底书或申请文件，检查权利要求依附关系、保护范围、支持性和提交前风险。”</w:t>
      </w:r>
    </w:p>
    <w:p w14:paraId="6F01910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法律与财税</w:t>
      </w:r>
    </w:p>
    <w:p w14:paraId="5A515F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“帮我排查这么做的法律风险，按事实、适用法规、风险等级、补证材料和整改动作输出。”</w:t>
      </w:r>
    </w:p>
    <w:p w14:paraId="743D2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“按新公司法为这家企业做合规自查，重点检查出资、章程、治理、关联交易、股权转让、减资和清算风险。”</w:t>
      </w:r>
    </w:p>
    <w:p w14:paraId="3D934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“帮我出具这家企业金税四期分析报告，复算近三年财务指标，区分已证实风险和待补证信号。”</w:t>
      </w:r>
    </w:p>
    <w:p w14:paraId="4CFF864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政策版本与材料审查</w:t>
      </w:r>
    </w:p>
    <w:p w14:paraId="5F185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“核验这个政策是否仍然有效；如已废止，给出废止或替代依据、新项目名称、现行条件和官方原文。”</w:t>
      </w:r>
    </w:p>
    <w:p w14:paraId="30ABF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“帮我体检这份申报材料，检查数字、事实、主导产品、知识产权和章节之间的一致性。”</w:t>
      </w:r>
    </w:p>
    <w:p w14:paraId="24E1D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“对比这两个版本的申报材料，列出数据变化、表述升级、遗漏和新增风险。”</w:t>
      </w:r>
    </w:p>
    <w:p w14:paraId="3454101E">
      <w:pPr>
        <w:keepNext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更新与问题处理</w:t>
      </w:r>
    </w:p>
    <w:p w14:paraId="30611D22">
      <w:pPr>
        <w:keepNext w:val="0"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</w:rPr>
        <w:t>V1.3.1包含49个Skills，新增高企申请书撰写、扩表、回填与核稿能力。</w:t>
      </w:r>
    </w:p>
    <w:p w14:paraId="3C7976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网站“Skills中心”显示最新版、发布时间、更新说明和安装平台。</w:t>
      </w:r>
    </w:p>
    <w:p w14:paraId="1828BD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升级时运行首次配置向导的继承工具。新版官方核心、个人覆盖层和云端偏好分别继承，旧文件进入可恢复备份，不直接覆盖个人项目资料。</w:t>
      </w:r>
    </w:p>
    <w:p w14:paraId="58D0A2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出现401：检查个人凭据是否完整、是否已被吊销，再重新生成并执行五步验收。</w:t>
      </w:r>
    </w:p>
    <w:p w14:paraId="56DC13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知识库未命中：确认地区、年度、项目别名和政策版本，再请求官方联网核验。</w:t>
      </w:r>
    </w:p>
    <w:p w14:paraId="69274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文档无法解析：先使用宿主OCR或文档能力转换为可检索PDF或Markdown，再由管理员上传。</w:t>
      </w:r>
    </w:p>
    <w:sectPr>
      <w:pgSz w:w="11906" w:h="16838"/>
      <w:pgMar w:top="1080" w:right="1440" w:bottom="108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FZJingHeiS-R-GB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B653D9"/>
    <w:multiLevelType w:val="singleLevel"/>
    <w:tmpl w:val="BCB653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BFFC9D8E"/>
    <w:multiLevelType w:val="singleLevel"/>
    <w:tmpl w:val="BFFC9D8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FAF837C"/>
    <w:multiLevelType w:val="singleLevel"/>
    <w:tmpl w:val="DFAF83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E73AC175"/>
    <w:multiLevelType w:val="singleLevel"/>
    <w:tmpl w:val="E73AC17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F6D22D10"/>
    <w:multiLevelType w:val="singleLevel"/>
    <w:tmpl w:val="F6D22D1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FBF3278"/>
    <w:multiLevelType w:val="singleLevel"/>
    <w:tmpl w:val="FFBF32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FFE805C"/>
    <w:multiLevelType w:val="singleLevel"/>
    <w:tmpl w:val="FFFE805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99F99B4"/>
    <w:multiLevelType w:val="singleLevel"/>
    <w:tmpl w:val="799F99B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7C7E9093"/>
    <w:multiLevelType w:val="singleLevel"/>
    <w:tmpl w:val="7C7E909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6"/>
  </w:num>
  <w:num w:numId="6">
    <w:abstractNumId w:val="7"/>
  </w:num>
  <w:num w:numId="7">
    <w:abstractNumId w:val="1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CFFC018"/>
    <w:rsid w:val="37E64585"/>
    <w:rsid w:val="7F7FAA66"/>
    <w:rsid w:val="9C7F8B88"/>
    <w:rsid w:val="DCFFC018"/>
    <w:rsid w:val="FF8EA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FZJingHeiS-R-GB" w:hAnsi="FZJingHeiS-R-GB" w:eastAsia="FZJingHeiS-R-GB" w:cs="FZJingHeiS-R-GB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FZJingHeiS-R-GB" w:hAnsi="FZJingHeiS-R-GB" w:eastAsia="FZJingHeiS-R-GB" w:cs="FZJingHeiS-R-GB"/>
      <w:b/>
      <w:sz w:val="32"/>
    </w:rPr>
  </w:style>
  <w:style w:type="character" w:default="1" w:styleId="8">
    <w:name w:val="Default Paragraph Font"/>
    <w:semiHidden/>
    <w:uiPriority w:val="0"/>
    <w:rPr>
      <w:rFonts w:ascii="FZJingHeiS-R-GB" w:hAnsi="FZJingHeiS-R-GB" w:eastAsia="FZJingHeiS-R-GB" w:cs="FZJingHeiS-R-GB"/>
    </w:rPr>
  </w:style>
  <w:style w:type="table" w:default="1" w:styleId="7">
    <w:name w:val="Normal Table"/>
    <w:semiHidden/>
    <w:uiPriority w:val="0"/>
    <w:rPr>
      <w:rFonts w:ascii="FZJingHeiS-R-GB" w:hAnsi="FZJingHeiS-R-GB" w:eastAsia="FZJingHeiS-R-GB" w:cs="FZJingHeiS-R-GB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rFonts w:ascii="FZJingHeiS-R-GB" w:hAnsi="FZJingHeiS-R-GB" w:eastAsia="FZJingHeiS-R-GB" w:cs="FZJingHeiS-R-GB"/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FZJingHeiS-R-GB" w:hAnsi="FZJingHeiS-R-GB" w:eastAsia="FZJingHeiS-R-GB" w:cs="FZJingHeiS-R-GB"/>
      <w:sz w:val="18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ascii="FZJingHeiS-R-GB" w:hAnsi="FZJingHeiS-R-GB" w:eastAsia="FZJingHeiS-R-GB" w:cs="FZJingHeiS-R-GB"/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rFonts w:ascii="FZJingHeiS-R-GB" w:hAnsi="FZJingHeiS-R-GB" w:eastAsia="FZJingHeiS-R-GB" w:cs="FZJingHeiS-R-GB"/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2026-07-23T01:37:00Z</dcterms:created>
  <dc:creator>盏盏</dc:creator>
  <dc:description>适用版本V1.3.1；49个Skills</dc:description>
  <cp:lastModifiedBy>盏盏</cp:lastModifiedBy>
  <dcterms:modified xsi:type="dcterms:W3CDTF">2026-07-27T13:04:32Z</dcterms:modified>
  <dc:subject>V1.3.1用户使用手册</dc:subject>
  <dc:title>企业全生命周期助手用户使用手册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407F431D355E9696DC3D5F6A73F39C95_41</vt:lpwstr>
  </property>
</Properties>
</file>