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绿色工厂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项目申报可行性分析报告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用于逐条核验、评分测算、证据闭环和年度实施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r>
        <w:br w:type="page"/>
      </w:r>
    </w:p>
    <w:p>
      <w:pPr>
        <w:pStyle w:val="Heading1"/>
      </w:pPr>
      <w:r>
        <w:t>一、项目版本与窗口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用户未说明层级时需确认国家、省级、市级或区县版本；指标年度和工厂边界必须统一。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文件名称与文号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生效及适用范围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原文位置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核验人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1.1 申报路径和时间控制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完整路径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确认国家、省市或区县版本 → 绿色制造评价边界 → 指标采集 → 第三方评价或自评价 → 推荐公示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绿色工厂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二、总体结论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36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依据及限制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申报结论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□建议申报  □有条件申报  □转下一年度  □暂缓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［结合通知、有效期、复核和截止日期］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预计满足硬门槛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［填写满足数/总数］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［以现行通知原文为准］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预计评分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［仅在评分表已锁定时计算］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关键前置任务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［填写三项以内］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［写责任人和最迟完成时间］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官方时间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企业内部截止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资料冻结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专项报告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网上申报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推荐审核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补正答辩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2.1 政策原文摘录规则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逐条复制现行通知的明确条件，不用经验性概述替代原文。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每项条件同时记录条款、附件、页码或表格位置。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当年截止项目必须写明企业端、区县推荐端及最终截止日期。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管理办法、年度通知、指南和评分附件冲突时，记录冲突并按更高等级或更晚生效文件处理。</w:t>
      </w:r>
    </w:p>
    <w:p>
      <w:pPr>
        <w:pStyle w:val="Heading2"/>
      </w:pPr>
      <w:r>
        <w:t>2.2 数据截止日和口径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数据类别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统计期间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口径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47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营业收入与利润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主导产品或申报对象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投资与设备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三、现行条件或完整评分表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现行条件或评分项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证据来源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条件分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工厂主体、行业和建设运行年限符合当期申报范围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能源消耗、单位产品能耗及清洁能源使用数据可核算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水、原材料和包装等资源投入及利用效率数据可核算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主要产品生态设计、绿色属性或有害物质控制资料完整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污染物、温室气体和固体废物绩效数据满足评价要求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能源、环境、质量和职业健康等管理体系按当期要求运行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判定规则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只用现行政策和已核验企业数据作达标判断；企业未提供的数据写待企业确认，明确检索未命中的资料写待补强。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四、项目专属核心对象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项目路由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基础设施、管理体系、能源资源投入、产品、环境排放及绩效改进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专项要求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前期报告只列能够量化和取证的绿色指标；可行性报告再按当期评价表逐项计分。</w:t>
            </w:r>
          </w:p>
        </w:tc>
      </w:tr>
    </w:tbl>
    <w:p>
      <w:pPr>
        <w:spacing w:after="0"/>
      </w:pPr>
    </w:p>
    <w:p>
      <w:pPr>
        <w:pStyle w:val="Heading2"/>
      </w:pPr>
      <w:r>
        <w:t>4.1 评分表与竞争力测算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79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满分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预计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评分规则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基础设施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管理体系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能源与资源投入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环境排放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6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综合绩效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</w:tbl>
    <w:p>
      <w:pPr>
        <w:spacing w:after="0"/>
      </w:pPr>
    </w:p>
    <w:p>
      <w:pPr>
        <w:pStyle w:val="Heading2"/>
      </w:pPr>
      <w:r>
        <w:t>4.2 得分解释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预计得分必须能回溯到评分条款和企业证据。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软提升项和加分项应进入任务包，但不得写成固定加分或硬门槛。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无公开评分表的项目不虚构分值，改用优先级、成熟度和证据完整度评价。</w:t>
      </w:r>
    </w:p>
    <w:p>
      <w:pPr>
        <w:pStyle w:val="Heading2"/>
      </w:pPr>
      <w:r>
        <w:t>4.3 竞争位置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对标对象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同口径指标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同行值或区间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差距与动作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［政府公示同类企业］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［行业代表产品］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五、逐项补强计划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56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证据主题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证据载体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截止日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厂区边界和建筑资料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能源资源台账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产量和单位产品指标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排放与固废数据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体系证书和运行记录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6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绿色改造项目资料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</w:tbl>
    <w:p>
      <w:pPr>
        <w:spacing w:after="0"/>
      </w:pPr>
    </w:p>
    <w:p>
      <w:pPr>
        <w:pStyle w:val="Heading2"/>
      </w:pPr>
      <w:r>
        <w:t>5.1 补强任务表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能源审计或碳盘查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绿色制造体系和节能降碳改造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六、年度倒排计划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重点动作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底稿建立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缺口补强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材料冻结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申报与补正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1"/>
      </w:pPr>
      <w:r>
        <w:t>七、科技咨询补强</w:t>
      </w:r>
    </w:p>
    <w:p>
      <w:pPr>
        <w:pStyle w:val="Heading2"/>
      </w:pPr>
      <w:r>
        <w:t>7.1 技术水平双报告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评价对象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对标范围</w:t>
            </w:r>
          </w:p>
        </w:tc>
        <w:tc>
          <w:tcPr>
            <w:tcW w:type="dxa" w:w="243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目标表述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国内同类产品</w:t>
            </w:r>
          </w:p>
        </w:tc>
        <w:tc>
          <w:tcPr>
            <w:tcW w:type="dxa" w:w="243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技术指标、专利、检测、应用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证据充分后论证国内领先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国际同类产品</w:t>
            </w:r>
          </w:p>
        </w:tc>
        <w:tc>
          <w:tcPr>
            <w:tcW w:type="dxa" w:w="243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技术指标、PCT、认证、国际应用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证据充分后论证国际先进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附录 A、补强实施底稿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补强事项</w:t>
            </w:r>
          </w:p>
        </w:tc>
        <w:tc>
          <w:tcPr>
            <w:tcW w:type="dxa" w:w="13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实施动作</w:t>
            </w:r>
          </w:p>
        </w:tc>
        <w:tc>
          <w:tcPr>
            <w:tcW w:type="dxa" w:w="124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96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能源审计或碳盘查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绿色制造体系和节能降碳改造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</w:tbl>
    <w:p>
      <w:pPr>
        <w:spacing w:after="0"/>
      </w:pPr>
    </w:p>
    <w:p>
      <w:pPr>
        <w:pStyle w:val="Heading2"/>
      </w:pPr>
      <w:r>
        <w:t>6.1 财务与资源约束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资源项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政策要求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企业现状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缺口</w:t>
            </w:r>
          </w:p>
        </w:tc>
        <w:tc>
          <w:tcPr>
            <w:tcW w:type="dxa" w:w="209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解决方案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营业收入与增长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人员与设备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6.2 任务排序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一级：不完成即不能申报或不能通过复核。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二级：直接影响评分、成熟度或竞争力。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三级：软提升项和长期能力建设。</w:t>
      </w:r>
    </w:p>
    <w:p>
      <w:r>
        <w:br w:type="page"/>
      </w:r>
    </w:p>
    <w:p>
      <w:pPr>
        <w:pStyle w:val="Heading1"/>
      </w:pPr>
      <w:r>
        <w:t>附录 B、风险、决策与提交前复核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控制措施</w:t>
            </w:r>
          </w:p>
        </w:tc>
        <w:tc>
          <w:tcPr>
            <w:tcW w:type="dxa" w:w="102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硬门槛风险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证据真实性风险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数据口径风险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评分竞争风险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7.1 最终决策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决策结论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［填写建议申报、培育后申报、转下一年度或暂缓；同时写明三项关键依据和剩余不确定性。］</w:t>
            </w:r>
          </w:p>
        </w:tc>
      </w:tr>
    </w:tbl>
    <w:p>
      <w:pPr>
        <w:spacing w:after="0"/>
      </w:pPr>
    </w:p>
    <w:p>
      <w:pPr>
        <w:pStyle w:val="Heading2"/>
      </w:pPr>
      <w:r>
        <w:t>7.2 提交前检查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复核人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办法、年度通知、指南和表单版本一致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核心条件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每项均有原文位置、企业数据和证据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数据一致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申请书、审计、台账、合同发票和附件口径一致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产品、技术、知识产权和收入边界一致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时间节点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内部截止早于官方截止并留出补正时间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附件完整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目录、命名、签章、日期和页码完整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报告边界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本报告用于申报决策和实施管理。政策、截止日期和企业数据在正式提交前必须重新核验；未核验信息不得写成已满足。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绿色工厂项目申报可行性分析报告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