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专精特新“小巨人”企业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先核对专精特新中小企业认定批次、有效期和复核年度，再锁定小巨人当期通知与申请书版本。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专精特新中小企业有效期管理 → 小巨人培育差距表 → 申报或复核 → 两年任务包 → 申报体检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专精特新“小巨人”企业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企业属于有效期内专精特新中小企业并满足当期前置要求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细分市场从业年限和主营业务收入占比满足现行要求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资产负债率、主营业务收入增长或净利润等财务指标满足现行口径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研发费用金额、研发费用率、研发人员占比及研发机构满足适用路径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有效知识产权数量、类别及与主导产品关联满足现行创新要求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主导产品细分市场地位和产业链关键作用有可核验证据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主导产品、细分市场专注度、创新能力、产业链配套价值及质量提升项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主导产品、专利、补短板、填空白和财务口径必须跨章节一致；复核项目要优先确保有效期延续。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精细化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特色化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产业链配套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质量提升项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主导产品边界、收入占比、客户和细分市场口径底稿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发明专利、PCT、标准、检测、认证及产品技术文件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研发机构、人员、设备、项目、投入和成果转化资料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产业链补短板、填空白或国产替代的技术因果链资料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数字化诊断、质量管理成熟度及国际认证资料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专精特新“小巨人”企业项目申报可行性分析报告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