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制造精品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用户只说制造精品时，应确认省级、市级或区县版本；不同地区目录和评分不可混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和申报产品符合当期产业领域、区域和经营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已形成稳定生产和市场销售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技术、质量或性能指标达到当期评价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拥有自主知识产权并形成技术支撑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销售、市场占有、客户或品牌指标满足申报口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质量管理、标准、检测和认证资料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申报产品的技术质量、市场表现、品牌、标准、知识产权和制造能力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评价对象是单一产品或产品系列，不把企业整体能力代替产品证据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确认省市区县版本 → 产品边界锁定 → 技术质量与市场证据核验 → 材料补强 → 评审公示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制造精品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标准与第三方检测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品牌、质量和客户应用证据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品技术规格和检测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销售收入与市场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知识产权关联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标准与认证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质量管理和生产过程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造精品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