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数字化车间、智能工厂及相关数字化项目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用户表述模糊时需确认省级、市级或区县项目版本，并锁定数字化车间、智能工厂等具体类型。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确认项目层级与具体名称 → 数字化成熟度诊断 → 场景和投资边界 → 数据取证 → 申报评审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数字化车间、智能工厂及相关数字化项目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企业和建设项目符合当期行业、区域及投资范围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关键设备数控化、联网率或数据采集覆盖达到现行要求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MES、ERP、PLM、WMS等系统实现规定场景的集成应用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生产、质量、设备、能源、供应链等数据形成闭环应用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项目投资、合同、发票、付款和验收资料口径一致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网络安全、数据安全和权限管理满足当期要求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设备联网、系统集成、数据贯通、业务场景、数字化绩效和安全治理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数字化项目报告以可验证场景和绩效为核心，不用软件采购清单代替数字化能力。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基础设施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设备联网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系统集成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数据应用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业务模式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绩效提升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7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安全治理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系统架构与网络拓扑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设备台账和联网清单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系统截图及接口说明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投资合同发票付款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产能质量能耗等前后对比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安全制度和测评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设备联网、系统集成和数据治理改造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设备联网、系统集成和数据治理改造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数字化车间、智能工厂及相关数字化项目项目申报可行性分析报告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