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业单项冠军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或市级版本；市场份额口径必须与政策定义一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长期专注于制造业特定细分产品领域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单项产品收入及其占主营业务收入比例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产品市场占有率或行业地位满足对应层级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、研发机构、知识产权和技术创新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质量、关键性能、品牌和标准达到先进水平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经营效益、国际化或产业链影响满足当期评价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长期专注的制造业细分产品、市场地位、创新能力、质量效益和全球化经营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独立审查产品边界和市场份额分母，不能只引用宣传性排名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级或市级版本 → 产品边界和细分市场锁定 → 市占率证据 → 创新质量补强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业单项冠军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市场占有率专项论证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认证、PCT专利和海外市场证据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收入专项口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市场份额测算与第三方来源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投入和研发机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专利标准认证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要客户和全球销售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业单项冠军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