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A3E44E">
      <w:pPr>
        <w:pStyle w:val="2"/>
        <w:bidi w:val="0"/>
        <w:jc w:val="center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企业全生命周期助手用户使用手册</w:t>
      </w:r>
    </w:p>
    <w:p w14:paraId="120C37C3">
      <w:pPr>
        <w:pStyle w:val="6"/>
        <w:keepNext w:val="0"/>
        <w:keepLines w:val="0"/>
        <w:widowControl/>
        <w:suppressLineNumbers w:val="0"/>
        <w:ind w:left="720" w:right="720"/>
        <w:jc w:val="center"/>
        <w:rPr>
          <w:rFonts w:hint="eastAsia" w:asciiTheme="majorEastAsia" w:hAnsiTheme="majorEastAsia" w:eastAsiaTheme="majorEastAsia" w:cstheme="majorEastAsia"/>
          <w:lang w:val="en-US"/>
        </w:rPr>
      </w:pPr>
      <w:r>
        <w:rPr>
          <w:rStyle w:val="9"/>
          <w:rFonts w:hint="eastAsia" w:asciiTheme="majorEastAsia" w:hAnsiTheme="majorEastAsia" w:eastAsiaTheme="majorEastAsia" w:cstheme="majorEastAsia"/>
          <w:sz w:val="24"/>
          <w:szCs w:val="24"/>
        </w:rPr>
        <w:t>一个懂政策、税务、法律和专利的企业专业服务 Agent</w:t>
      </w:r>
    </w:p>
    <w:p w14:paraId="05B814DF">
      <w:pPr>
        <w:pStyle w:val="3"/>
        <w:bidi w:val="0"/>
        <w:jc w:val="center"/>
        <w:rPr>
          <w:rFonts w:hint="default" w:asciiTheme="majorEastAsia" w:hAnsiTheme="majorEastAsia" w:eastAsiaTheme="majorEastAsia" w:cstheme="majorEastAsia"/>
          <w:lang w:val="en-US"/>
        </w:rPr>
      </w:pPr>
      <w:r>
        <w:rPr>
          <w:rFonts w:hint="eastAsia" w:asciiTheme="majorEastAsia" w:hAnsiTheme="majorEastAsia" w:eastAsiaTheme="majorEastAsia" w:cstheme="majorEastAsia"/>
        </w:rPr>
        <w:t>适用版本：V1.</w:t>
      </w:r>
      <w:r>
        <w:rPr>
          <w:rFonts w:hint="default" w:asciiTheme="majorEastAsia" w:hAnsiTheme="majorEastAsia" w:eastAsiaTheme="majorEastAsia" w:cstheme="majorEastAsia"/>
          <w:lang w:val="en-US"/>
        </w:rPr>
        <w:t>1</w:t>
      </w:r>
    </w:p>
    <w:p w14:paraId="15806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本手册面向共创团队成员。企业全生命周期助手由56个平台无关Skills、团队云端知识库、RESTAPI和MCP组成的工作能力包，可放入支持Skills的Agent使用。</w:t>
      </w:r>
    </w:p>
    <w:p w14:paraId="5D0C97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自助注册</w:t>
      </w:r>
    </w:p>
    <w:p w14:paraId="757E5BE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1.打开团队网站，进入“注册账号”。</w:t>
      </w:r>
    </w:p>
    <w:p w14:paraId="043D8496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2.填写英文登录账号。账号长度为3至32位，可包含数字、点、下划线和连字符。</w:t>
      </w:r>
    </w:p>
    <w:p w14:paraId="740304C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3.填写中文真实姓名。</w:t>
      </w:r>
    </w:p>
    <w:p w14:paraId="7C5F43F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4.填写企业微信绑定手机号后四位。同名成员使用手机号后四位区分。</w:t>
      </w:r>
    </w:p>
    <w:p w14:paraId="41629AB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5.输入公司全称`共创集团`完成团队验证。</w:t>
      </w:r>
    </w:p>
    <w:p w14:paraId="70667B3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6.设置不少于9位的登录密码并提交。</w:t>
      </w:r>
    </w:p>
    <w:p w14:paraId="65F46B4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登录</w:t>
      </w:r>
    </w:p>
    <w:p w14:paraId="0E43F56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使用英文账号和密码登录。</w:t>
      </w:r>
    </w:p>
    <w:p w14:paraId="02094F9A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私人设备可勾选“七天自动登录”；公共电脑不建议勾选。</w:t>
      </w:r>
    </w:p>
    <w:p w14:paraId="3729D26E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登录后显示中文真实姓名，右上角菜单可进入账号安全或退出登录。</w:t>
      </w:r>
    </w:p>
    <w:p w14:paraId="417E84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下载与安装及使用方法</w:t>
      </w:r>
    </w:p>
    <w:p w14:paraId="6F5AB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安装Skills</w:t>
      </w:r>
    </w:p>
    <w:p w14:paraId="26C28EB1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登录网站，进入“Skills下载”。</w:t>
      </w:r>
    </w:p>
    <w:p w14:paraId="6A598F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下载</w:t>
      </w:r>
      <w:r>
        <w:rPr>
          <w:rFonts w:hint="default" w:asciiTheme="majorEastAsia" w:hAnsiTheme="majorEastAsia" w:eastAsiaTheme="majorEastAsia" w:cstheme="majorEastAsia"/>
          <w:lang w:val="en-US"/>
        </w:rPr>
        <w:t>V1.1</w:t>
      </w:r>
      <w:r>
        <w:rPr>
          <w:rFonts w:hint="eastAsia" w:asciiTheme="majorEastAsia" w:hAnsiTheme="majorEastAsia" w:eastAsiaTheme="majorEastAsia" w:cstheme="majorEastAsia"/>
        </w:rPr>
        <w:t>ZIP并解压。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网站同时提供</w:t>
      </w:r>
      <w:r>
        <w:rPr>
          <w:rFonts w:hint="default" w:asciiTheme="majorEastAsia" w:hAnsiTheme="majorEastAsia" w:eastAsiaTheme="majorEastAsia" w:cstheme="majorEastAsia"/>
          <w:lang w:val="en-US"/>
        </w:rPr>
        <w:t>V1.1</w:t>
      </w:r>
      <w:r>
        <w:rPr>
          <w:rFonts w:hint="eastAsia" w:asciiTheme="majorEastAsia" w:hAnsiTheme="majorEastAsia" w:eastAsiaTheme="majorEastAsia" w:cstheme="majorEastAsia"/>
        </w:rPr>
        <w:t>通用Skills包和</w:t>
      </w:r>
      <w:r>
        <w:rPr>
          <w:rFonts w:hint="default" w:asciiTheme="majorEastAsia" w:hAnsiTheme="majorEastAsia" w:eastAsiaTheme="majorEastAsia" w:cstheme="majorEastAsia"/>
          <w:lang w:val="en-US"/>
        </w:rPr>
        <w:t>V1.1</w:t>
      </w:r>
      <w:r>
        <w:rPr>
          <w:rFonts w:hint="eastAsia" w:asciiTheme="majorEastAsia" w:hAnsiTheme="majorEastAsia" w:eastAsiaTheme="majorEastAsia" w:cstheme="majorEastAsia"/>
        </w:rPr>
        <w:t xml:space="preserve"> WorkBuddy插件包。两种版本业务能力相同，不要重复安装；支持SKILL.md的Agent使用通用包，WorkBuddy用户优先使用插件包。</w:t>
      </w:r>
    </w:p>
    <w:p w14:paraId="32767AB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将`skills`文件夹拖入或导入当前Agent的Skills目录或工作区。</w:t>
      </w:r>
    </w:p>
    <w:p w14:paraId="216B79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在Agent中输入：</w:t>
      </w:r>
    </w:p>
    <w:p w14:paraId="528D8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  <w:lang w:eastAsia="zh-CN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“请检查企业全生命周期助手是否安装完整，并启动首次配置向导。”</w:t>
      </w:r>
    </w:p>
    <w:p w14:paraId="6E84E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若宿主不能直接识别`SKILL.md`，使用该平台自己的Skill导入或转换能力。</w:t>
      </w:r>
    </w:p>
    <w:p w14:paraId="55B63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首次安装后再输入：</w:t>
      </w:r>
    </w:p>
    <w:p w14:paraId="5EB1B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</w:t>
      </w:r>
      <w:r>
        <w:rPr>
          <w:rFonts w:hint="eastAsia" w:asciiTheme="majorEastAsia" w:hAnsiTheme="majorEastAsia" w:eastAsiaTheme="majorEastAsia" w:cstheme="majorEastAsia"/>
        </w:rPr>
        <w:t>帮我安装OCR、PDF、Word、PPT、Excel和联网检索这几个Skills</w:t>
      </w:r>
      <w:r>
        <w:rPr>
          <w:rFonts w:hint="eastAsia" w:asciiTheme="majorEastAsia" w:hAnsiTheme="majorEastAsia" w:eastAsiaTheme="majorEastAsia" w:cstheme="majorEastAsia"/>
          <w:lang w:eastAsia="zh-CN"/>
        </w:rPr>
        <w:t>”</w:t>
      </w:r>
    </w:p>
    <w:p w14:paraId="02C99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通用文档、OCR和联网能力由宿主Agent提供，不在企业全生命周期助手中重复打包。</w:t>
      </w:r>
    </w:p>
    <w:p w14:paraId="13DD1F9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连接团队知识库</w:t>
      </w:r>
    </w:p>
    <w:p w14:paraId="7E009DA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登录网站，进入“API与MCP”。</w:t>
      </w:r>
    </w:p>
    <w:p w14:paraId="3B30F23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显示并复制REST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</w:rPr>
        <w:t>BaseURL、MCP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</w:rPr>
        <w:t>URL和个人访问凭据。</w:t>
      </w:r>
    </w:p>
    <w:p w14:paraId="4C824DB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每位用户只有一个有效个人凭据，可反复显示和复制，不需要重复创建。</w:t>
      </w:r>
    </w:p>
    <w:p w14:paraId="40991E9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将网站提供的完整接入内容交给自己的Agent，并要求运行`firstrunconfiguration`。</w:t>
      </w:r>
    </w:p>
    <w:p w14:paraId="3FD069D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Agent应先验证身份，再进行一次非敏感关键词检索。</w:t>
      </w:r>
    </w:p>
    <w:p w14:paraId="135D2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个人凭据不是模型APIKey。它只用于访问团队知识库、查看本人用量和下载最新版Skills。凭据返回401时，先确认复制完整；仍无效则在本人页面吊销后重新生成。</w:t>
      </w:r>
    </w:p>
    <w:p w14:paraId="764515B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完整验收</w:t>
      </w:r>
    </w:p>
    <w:p w14:paraId="78525B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可让Agent按以下顺序执行，不必把凭据发给管理员：</w:t>
      </w:r>
    </w:p>
    <w:p w14:paraId="6308296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1.`GET/v1/me`：返回当前英文登录账号。</w:t>
      </w:r>
    </w:p>
    <w:p w14:paraId="3737F4B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2.`POST/v1/search`：检索一个非敏感公开关键词。</w:t>
      </w:r>
    </w:p>
    <w:p w14:paraId="6958C1A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3.`GET/v1/documents/{id}`：读取上一步命中的文档。</w:t>
      </w:r>
    </w:p>
    <w:p w14:paraId="3CF890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4.`GET/v1/usage`：返回当前用户调用记录。</w:t>
      </w:r>
    </w:p>
    <w:p w14:paraId="38270E7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5.MCP初始化并读取工具列表，再调用知识服务状态或知识检索工具。</w:t>
      </w:r>
    </w:p>
    <w:p w14:paraId="0037C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五步全部成功才算REST与MCP完整端到端验收通过。仅打开网站或仅返回401不算通过。</w:t>
      </w:r>
    </w:p>
    <w:p w14:paraId="631ABC9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可选外部能力</w:t>
      </w:r>
    </w:p>
    <w:p w14:paraId="47153BC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</w:rPr>
        <w:t>企查查：增强工商、股权、风险和知识产权画像，可通过网站保留的企查查入口注册并按供应商说明配置API或MCP。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>通过网站邀请链接注册登录后首页获取MCP通用配置，复制到个人agent中使用。</w:t>
      </w:r>
    </w:p>
    <w:p w14:paraId="5186469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BigQueryPatents：增强全球专利批量检索、同族和引证分析。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>专利部自行翻墙注册Google账号后使用</w:t>
      </w:r>
    </w:p>
    <w:p w14:paraId="47B9B125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所有外部能力由统一首次配置向导检测，避免每个Skill重复配置。</w:t>
      </w:r>
    </w:p>
    <w:p w14:paraId="4D9510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能力边界</w:t>
      </w:r>
    </w:p>
    <w:p w14:paraId="652029B1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覆盖政府项目检索、匹配、体检、材料编写、企业分析、专利、法律法规、制造业财税风险和交付归档，但不承诺一定符合或一定获批。</w:t>
      </w:r>
    </w:p>
    <w:p w14:paraId="44CA042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政策结论必须区分规则层、动态层和官方原文，并核验现行、历史、废止、替代依据及当期通知。</w:t>
      </w:r>
    </w:p>
    <w:p w14:paraId="42A71945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云端知识库由管理员统一上传、修改、删除和重建索引；成员的地区政策增改删保存在本人本地工作区，不写入云端。</w:t>
      </w:r>
    </w:p>
    <w:p w14:paraId="69C368CD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无可靠数据时不推算企业财务，不以第三方过期数据替代客户材料。</w:t>
      </w:r>
    </w:p>
    <w:p w14:paraId="62EA4877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审中专利不能作为授权成果使用；专利任务必须区分有效授权、审中、失效和转让取得。</w:t>
      </w:r>
    </w:p>
    <w:p w14:paraId="7C9B370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专利检索、FTO和侵权预警属于初筛，不替代专利代理师或律师的正式意见。</w:t>
      </w:r>
    </w:p>
    <w:p w14:paraId="2A79A84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法律Skill可做法规检索、效力核验、公司法与项目合规自查，不替代执业律师针对具体交易、争议或诉讼出具的法律意见。</w:t>
      </w:r>
    </w:p>
    <w:p w14:paraId="2A2B8A5B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OCR结果不是天然准确，企业名称、名单序号、金额、日期和表格列必须抽样复核。</w:t>
      </w:r>
    </w:p>
    <w:p w14:paraId="58EDB399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当前检索层未命中只能说明“未命中”，不能据此断言资料或项目不存在。</w:t>
      </w:r>
    </w:p>
    <w:p w14:paraId="1F6C84B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常用指令</w:t>
      </w:r>
    </w:p>
    <w:p w14:paraId="37CB401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安装与连接</w:t>
      </w:r>
      <w:r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  <w:t>:</w:t>
      </w:r>
    </w:p>
    <w:p w14:paraId="6190EB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“请检查企业全生命周期助手是否安装完整，并启动首次配置向导。”</w:t>
      </w:r>
    </w:p>
    <w:p w14:paraId="2F512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“请测试团队知识库RESTAPI和MCP是否完整可用，并逐步报告/v1/me、检索、文档读取、用量和MCP工具调用结果。”</w:t>
      </w:r>
    </w:p>
    <w:p w14:paraId="67C1F98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  <w:t>企业与项目</w:t>
      </w:r>
    </w:p>
    <w:p w14:paraId="2C6849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“帮我出具这家企业全景分析报告，先列事实来源，再给风险和合作建议。”</w:t>
      </w:r>
    </w:p>
    <w:p w14:paraId="4747C5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“分析这家企业目前能申报哪些政府项目，按国家、省、市、区县分层，并给出未来五年规划。”</w:t>
      </w:r>
    </w:p>
    <w:p w14:paraId="12C5F4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“这家企业想申报研究院，请核验当前项目名称、现行政策、申报条件、差距和材料清单。”</w:t>
      </w:r>
    </w:p>
    <w:p w14:paraId="0ACDE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“查询这家企业同行中有哪些专精特新或小巨人企业，列出名单序号、批次、地区和原始来源。”</w:t>
      </w:r>
    </w:p>
    <w:p w14:paraId="33B30264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“请对这家企业做高企申报前评估，比较今年与明年的硬门槛、成长性、三档评分和补强计划。”</w:t>
      </w:r>
    </w:p>
    <w:p w14:paraId="5261D6E5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“请先生成专精特新或小巨人申报前评分用的三年财务底表，待我回传并确认项目版本后再评分。”</w:t>
      </w:r>
    </w:p>
    <w:p w14:paraId="2264041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专精特新和小巨人</w:t>
      </w:r>
    </w:p>
    <w:p w14:paraId="27AB2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“请先识别并让我确认申请书项目类型和版本，再体检这份材料。”</w:t>
      </w:r>
    </w:p>
    <w:p w14:paraId="0BE5E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“按现行优质中小企业梯度培育管理办法，分析企业差距，并对主导产品、补短板、填空白、国产替代分别给出保留、替换或补证后保留结论。”</w:t>
      </w:r>
    </w:p>
    <w:p w14:paraId="27274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“严格按照包内产业链架构和工业六基目录匹配主导产品；没有直接分类时，给一个相似分类和一个分析判断分类。”</w:t>
      </w:r>
    </w:p>
    <w:p w14:paraId="67FEBB4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专利</w:t>
      </w:r>
    </w:p>
    <w:p w14:paraId="6045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“根据现有资料和项目要求，为这家企业规划10个专利方向，并说明每个方向与产品、技术问题和项目指标的关系。”</w:t>
      </w:r>
    </w:p>
    <w:p w14:paraId="03CA5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“对这项产品做FTO初筛，区分公开文本、授权文本和法律状态，并列出仍需人工核验的权利要求。”</w:t>
      </w:r>
    </w:p>
    <w:p w14:paraId="7DF8E2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“审查这份专利交底书或申请文件，检查权利要求依附关系、保护范围、支持性和提交前风险。”</w:t>
      </w:r>
    </w:p>
    <w:p w14:paraId="6F01910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法律与财税</w:t>
      </w:r>
    </w:p>
    <w:p w14:paraId="5A515F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“帮我排查这么做的法律风险，按事实、适用法规、风险等级、补证材料和整改动作输出。”</w:t>
      </w:r>
    </w:p>
    <w:p w14:paraId="743D2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“按新公司法为这家企业做合规自查，重点检查出资、章程、治理、关联交易、股权转让、减资和清算风险。”</w:t>
      </w:r>
    </w:p>
    <w:p w14:paraId="3D934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“帮我出具这家企业金税四期分析报告，复算近三年财务指标，区分已证实风险和待补证信号。”</w:t>
      </w:r>
    </w:p>
    <w:p w14:paraId="4CFF864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政策版本与材料审查</w:t>
      </w:r>
    </w:p>
    <w:p w14:paraId="5F185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“核验这个政策是否仍然有效；如已废止，给出废止或替代依据、新项目名称、现行条件和官方原文。”</w:t>
      </w:r>
    </w:p>
    <w:p w14:paraId="30ABF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“帮我体检这份申报材料，检查数字、事实、主导产品、知识产权和章节之间的一致性。”</w:t>
      </w:r>
    </w:p>
    <w:p w14:paraId="24E1D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“对比这两个版本的申报材料，列出数据变化、表述升级、遗漏和新增风险。”</w:t>
      </w:r>
    </w:p>
    <w:p w14:paraId="3454101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更新与问题处理</w:t>
      </w:r>
    </w:p>
    <w:p w14:paraId="30611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网站“Skills下载”显示最新版、发布时间和更新说明。</w:t>
      </w:r>
    </w:p>
    <w:p w14:paraId="1828BD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升级时用</w:t>
      </w:r>
      <w:bookmarkStart w:id="0" w:name="_GoBack"/>
      <w:bookmarkEnd w:id="0"/>
      <w:r>
        <w:rPr>
          <w:rFonts w:hint="eastAsia" w:asciiTheme="majorEastAsia" w:hAnsiTheme="majorEastAsia" w:eastAsiaTheme="majorEastAsia" w:cstheme="majorEastAsia"/>
        </w:rPr>
        <w:t>新的`skills`文件夹替换旧版标准Skills，保留个人项目资料和本地政策规则。</w:t>
      </w:r>
    </w:p>
    <w:p w14:paraId="58D0A2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出现401：检查个人凭据是否完整、是否已被吊销，再重新生成并执行五步验收。</w:t>
      </w:r>
    </w:p>
    <w:p w14:paraId="56DC13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知识库未命中：确认地区、年度、项目别名和政策版本，再请求官方联网核验。</w:t>
      </w:r>
    </w:p>
    <w:p w14:paraId="69274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文档无法解析：先使用宿主OCR或文档能力转换为可检索PDF或Markdown，再由管理员上传。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FZJingHeiS-R-GB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B653D9"/>
    <w:multiLevelType w:val="singleLevel"/>
    <w:tmpl w:val="BCB653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BFFC9D8E"/>
    <w:multiLevelType w:val="singleLevel"/>
    <w:tmpl w:val="BFFC9D8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FAF837C"/>
    <w:multiLevelType w:val="singleLevel"/>
    <w:tmpl w:val="DFAF83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E73AC175"/>
    <w:multiLevelType w:val="singleLevel"/>
    <w:tmpl w:val="E73AC17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F6D22D10"/>
    <w:multiLevelType w:val="singleLevel"/>
    <w:tmpl w:val="F6D22D1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FBF3278"/>
    <w:multiLevelType w:val="singleLevel"/>
    <w:tmpl w:val="FFBF32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FFE805C"/>
    <w:multiLevelType w:val="singleLevel"/>
    <w:tmpl w:val="FFFE805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99F99B4"/>
    <w:multiLevelType w:val="singleLevel"/>
    <w:tmpl w:val="799F99B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7C7E9093"/>
    <w:multiLevelType w:val="singleLevel"/>
    <w:tmpl w:val="7C7E909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6"/>
  </w:num>
  <w:num w:numId="6">
    <w:abstractNumId w:val="7"/>
  </w:num>
  <w:num w:numId="7">
    <w:abstractNumId w:val="1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CFFC018"/>
    <w:rsid w:val="37E64585"/>
    <w:rsid w:val="7F7FAA66"/>
    <w:rsid w:val="DCFFC018"/>
    <w:rsid w:val="FF8EA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FZJingHeiS-R-GB" w:hAnsi="FZJingHeiS-R-GB" w:eastAsia="FZJingHeiS-R-GB" w:cs="FZJingHeiS-R-GB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FZJingHeiS-R-GB" w:hAnsi="FZJingHeiS-R-GB" w:eastAsia="FZJingHeiS-R-GB" w:cs="FZJingHeiS-R-GB"/>
      <w:b/>
      <w:sz w:val="32"/>
    </w:rPr>
  </w:style>
  <w:style w:type="character" w:default="1" w:styleId="8">
    <w:name w:val="Default Paragraph Font"/>
    <w:semiHidden/>
    <w:uiPriority w:val="0"/>
    <w:rPr>
      <w:rFonts w:ascii="FZJingHeiS-R-GB" w:hAnsi="FZJingHeiS-R-GB" w:eastAsia="FZJingHeiS-R-GB" w:cs="FZJingHeiS-R-GB"/>
    </w:rPr>
  </w:style>
  <w:style w:type="table" w:default="1" w:styleId="7">
    <w:name w:val="Normal Table"/>
    <w:semiHidden/>
    <w:uiPriority w:val="0"/>
    <w:rPr>
      <w:rFonts w:ascii="FZJingHeiS-R-GB" w:hAnsi="FZJingHeiS-R-GB" w:eastAsia="FZJingHeiS-R-GB" w:cs="FZJingHeiS-R-GB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rFonts w:ascii="FZJingHeiS-R-GB" w:hAnsi="FZJingHeiS-R-GB" w:eastAsia="FZJingHeiS-R-GB" w:cs="FZJingHeiS-R-GB"/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FZJingHeiS-R-GB" w:hAnsi="FZJingHeiS-R-GB" w:eastAsia="FZJingHeiS-R-GB" w:cs="FZJingHeiS-R-GB"/>
      <w:sz w:val="18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ascii="FZJingHeiS-R-GB" w:hAnsi="FZJingHeiS-R-GB" w:eastAsia="FZJingHeiS-R-GB" w:cs="FZJingHeiS-R-GB"/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rFonts w:ascii="FZJingHeiS-R-GB" w:hAnsi="FZJingHeiS-R-GB" w:eastAsia="FZJingHeiS-R-GB" w:cs="FZJingHeiS-R-GB"/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2026-07-22T17:37:00Z</dcterms:created>
  <dc:creator>盏盏</dc:creator>
  <cp:lastModifiedBy>盏盏</cp:lastModifiedBy>
  <dcterms:modified xsi:type="dcterms:W3CDTF">2026-07-24T23:14:06Z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407F431D355E9696DC3D5F6A73F39C95_41</vt:lpwstr>
  </property>
</Properties>
</file>