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40"/>
      </w:pPr>
    </w:p>
    <w:p>
      <w:pPr>
        <w:spacing w:after="360"/>
        <w:jc w:val="center"/>
      </w:pPr>
      <w:r>
        <w:rPr>
          <w:rFonts w:ascii="Arial Unicode MS" w:hAnsi="Arial Unicode MS" w:eastAsia="Arial Unicode MS" w:cs="Arial Unicode MS"/>
          <w:b/>
          <w:i w:val="0"/>
          <w:color w:val="2E74B5"/>
          <w:sz w:val="22"/>
        </w:rPr>
        <w:t>焦糖团队知识与项目作业指南</w:t>
      </w:r>
    </w:p>
    <w:p>
      <w:pPr>
        <w:spacing w:after="200"/>
        <w:jc w:val="center"/>
      </w:pPr>
      <w:r>
        <w:rPr>
          <w:rFonts w:ascii="Arial Unicode MS" w:hAnsi="Arial Unicode MS" w:eastAsia="Arial Unicode MS" w:cs="Arial Unicode MS"/>
          <w:b/>
          <w:i w:val="0"/>
          <w:color w:val="1F4D78"/>
          <w:sz w:val="56"/>
        </w:rPr>
        <w:t>企业全生命周期助手</w:t>
      </w:r>
    </w:p>
    <w:p>
      <w:pPr>
        <w:spacing w:after="560"/>
        <w:jc w:val="center"/>
      </w:pPr>
      <w:r>
        <w:rPr>
          <w:rFonts w:ascii="Arial Unicode MS" w:hAnsi="Arial Unicode MS" w:eastAsia="Arial Unicode MS" w:cs="Arial Unicode MS"/>
          <w:b w:val="0"/>
          <w:i w:val="0"/>
          <w:color w:val="2E74B5"/>
          <w:sz w:val="34"/>
        </w:rPr>
        <w:t>用户使用手册</w:t>
      </w:r>
    </w:p>
    <w:p>
      <w:pPr>
        <w:spacing w:after="120"/>
        <w:jc w:val="center"/>
      </w:pPr>
      <w:r>
        <w:rPr>
          <w:rFonts w:ascii="Arial Unicode MS" w:hAnsi="Arial Unicode MS" w:eastAsia="Arial Unicode MS" w:cs="Arial Unicode MS"/>
          <w:b/>
          <w:i w:val="0"/>
          <w:color w:val="202B38"/>
          <w:sz w:val="22"/>
        </w:rPr>
        <w:t>适用版本  V1.4.4</w:t>
      </w:r>
    </w:p>
    <w:p>
      <w:pPr>
        <w:jc w:val="center"/>
      </w:pPr>
      <w:r>
        <w:rPr>
          <w:rFonts w:ascii="Arial Unicode MS" w:hAnsi="Arial Unicode MS" w:eastAsia="Arial Unicode MS" w:cs="Arial Unicode MS"/>
          <w:b w:val="0"/>
          <w:i w:val="0"/>
          <w:color w:val="5E6A78"/>
          <w:sz w:val="20"/>
        </w:rPr>
        <w:t>更新日期  2026 年 8 月 2 日</w:t>
      </w:r>
      <w:r>
        <w:br w:type="page"/>
      </w:r>
    </w:p>
    <w:p>
      <w:pPr>
        <w:shd w:fill="E8EEF5"/>
        <w:spacing w:before="40" w:after="240"/>
        <w:ind w:left="173" w:right="173"/>
      </w:pPr>
      <w:r>
        <w:rPr>
          <w:rFonts w:ascii="Arial Unicode MS" w:hAnsi="Arial Unicode MS" w:eastAsia="Arial Unicode MS" w:cs="Arial Unicode MS"/>
          <w:b/>
          <w:i w:val="0"/>
          <w:color w:val="1F4D78"/>
          <w:sz w:val="21"/>
        </w:rPr>
        <w:t>适用版本：V1.4.4。网站顶部“当前正式发布状态”和下载卡片是安装状态依据，候选版本不等于正式发布版本。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本手册面向共创团队成员。企业全生命周期助手由49个平台无关 Skills、团队云端知识库、REST API和MCP组成，可导入支持 Skills 的 Agent 使用。焦糖网站统一提供通用 Skills 包和经实机验收的平台增强包。</w:t>
      </w:r>
    </w:p>
    <w:p>
      <w:pPr>
        <w:pStyle w:val="Heading1"/>
      </w:pPr>
      <w:r>
        <w:t>1. 注册方式</w:t>
      </w:r>
    </w:p>
    <w:p>
      <w:pPr>
        <w:pStyle w:val="Heading2"/>
      </w:pPr>
      <w:r>
        <w:t>注册前提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管理员须先在成员管理中把内部成员加入自助注册名单。系统只保存中文真实姓名和企业微信绑定手机号后四位；成员无需等待邀请链接，即可使用这两项名单信息核验注册权限。</w:t>
      </w:r>
    </w:p>
    <w:p>
      <w:pPr>
        <w:pStyle w:val="Heading2"/>
      </w:pPr>
      <w:r>
        <w:t>使用名单信息自助注册</w:t>
      </w:r>
    </w:p>
    <w:p>
      <w:pPr>
        <w:pStyle w:val="ListNumber"/>
        <w:numPr>
          <w:ilvl w:val="0"/>
          <w:numId w:val="10"/>
        </w:numPr>
      </w:pPr>
      <w:r>
        <w:t>打开网站普通注册页。管理员发送的专属链接仅用于预填姓名和手机后四位，不是注册前提。</w:t>
      </w:r>
    </w:p>
    <w:p>
      <w:pPr>
        <w:pStyle w:val="ListNumber"/>
        <w:numPr>
          <w:ilvl w:val="0"/>
          <w:numId w:val="10"/>
        </w:numPr>
      </w:pPr>
      <w:r>
        <w:t>填写英文登录账号。账号长度为3至32位，可包含数字、点、下划线和连字符。</w:t>
      </w:r>
    </w:p>
    <w:p>
      <w:pPr>
        <w:pStyle w:val="ListNumber"/>
        <w:numPr>
          <w:ilvl w:val="0"/>
          <w:numId w:val="10"/>
        </w:numPr>
      </w:pPr>
      <w:r>
        <w:t>填写管理员名单中的中文真实姓名和企业微信绑定手机号后四位。也可以填写完整11位手机号，系统只取并保存后四位。</w:t>
      </w:r>
    </w:p>
    <w:p>
      <w:pPr>
        <w:pStyle w:val="ListNumber"/>
        <w:numPr>
          <w:ilvl w:val="0"/>
          <w:numId w:val="10"/>
        </w:numPr>
      </w:pPr>
      <w:r>
        <w:t>输入公司全称 共创集团 完成团队验证。</w:t>
      </w:r>
    </w:p>
    <w:p>
      <w:pPr>
        <w:pStyle w:val="ListNumber"/>
        <w:numPr>
          <w:ilvl w:val="0"/>
          <w:numId w:val="10"/>
        </w:numPr>
      </w:pPr>
      <w:r>
        <w:t>设置不少于9位的登录密码并提交。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每项名单授权只能成功注册一个账号。系统按来源 IP 对失败注册实施30分钟限流，并在数据库事务内原子绑定名单和账号，防止同一身份被并发抢注。管理员停用成员后，应直接启用原账号或由管理员重置密码；不能通过姓名和手机号后四位改变原账号密码。</w:t>
      </w:r>
    </w:p>
    <w:p>
      <w:pPr>
        <w:pStyle w:val="Heading2"/>
      </w:pPr>
      <w:r>
        <w:t>登录</w:t>
      </w:r>
    </w:p>
    <w:p>
      <w:pPr>
        <w:pStyle w:val="ListBullet"/>
      </w:pPr>
      <w:r>
        <w:t>使用英文账号和密码登录。</w:t>
      </w:r>
    </w:p>
    <w:p>
      <w:pPr>
        <w:pStyle w:val="ListBullet"/>
      </w:pPr>
      <w:r>
        <w:t>私人设备可勾选“七天自动登录”；公共电脑不建议勾选。</w:t>
      </w:r>
    </w:p>
    <w:p>
      <w:pPr>
        <w:pStyle w:val="ListBullet"/>
      </w:pPr>
      <w:r>
        <w:t>登录后显示中文真实姓名，右上角菜单可进入账号安全或退出登录。</w:t>
      </w:r>
    </w:p>
    <w:p>
      <w:pPr>
        <w:pStyle w:val="Heading2"/>
      </w:pPr>
      <w:r>
        <w:t>忘记密码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自助密码重置已停用。联系团队管理员，由管理员在“成员管理 → 账号详情”中重置密码。重置成功后，该成员原有网页登录会话立即失效。</w:t>
      </w:r>
    </w:p>
    <w:p>
      <w:pPr>
        <w:pStyle w:val="Heading2"/>
      </w:pPr>
      <w:r>
        <w:t>留言反馈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登录后进入“留言反馈”，可提交故障与 Bug、知识内容纠错、功能建议或其他意见。成员可以查看自己的处理进度和管理员回复；管理员可以查看全部留言并更新为待处理、处理中、已解决或已关闭。</w:t>
      </w:r>
    </w:p>
    <w:p>
      <w:pPr>
        <w:pStyle w:val="Heading1"/>
      </w:pPr>
      <w:r>
        <w:t>2. 下载与安装及使用方法</w:t>
      </w:r>
    </w:p>
    <w:p>
      <w:pPr>
        <w:pStyle w:val="Heading2"/>
      </w:pPr>
      <w:r>
        <w:t>网站直接使用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登录后可在智能驾驶舱直接提问。系统优先检索团队知识库，未命中时才按宿主能力联网核验。普通成员使用团队大模型时遵守网站显示的每日额度；管理员不限次数。用户填写自己的兼容模型 API 后，不占团队问答额度。</w:t>
      </w:r>
    </w:p>
    <w:p>
      <w:pPr>
        <w:pStyle w:val="Heading2"/>
      </w:pPr>
      <w:r>
        <w:t>从网站选择安装包</w:t>
      </w:r>
    </w:p>
    <w:p>
      <w:pPr>
        <w:pStyle w:val="ListNumber"/>
        <w:numPr>
          <w:ilvl w:val="0"/>
          <w:numId w:val="11"/>
        </w:numPr>
      </w:pPr>
      <w:r>
        <w:t>登录网站，进入“Skills → 版本与下载”。</w:t>
      </w:r>
    </w:p>
    <w:p>
      <w:pPr>
        <w:pStyle w:val="ListNumber"/>
        <w:numPr>
          <w:ilvl w:val="0"/>
          <w:numId w:val="11"/>
        </w:numPr>
      </w:pPr>
      <w:r>
        <w:t>只选择一个包：需要基础能力时下载通用版；需要对应宿主 Hooks、插件和 MCP 配置时下载该平台增强版。平台增强版已经包含通用 Skills，不要重复安装。</w:t>
      </w:r>
    </w:p>
    <w:p>
      <w:pPr>
        <w:pStyle w:val="ListNumber"/>
        <w:numPr>
          <w:ilvl w:val="0"/>
          <w:numId w:val="11"/>
        </w:numPr>
      </w:pPr>
      <w:r>
        <w:t>只有显示“正式包已发布”的平台包可以下载。“专用包适配中”表示尚未完成真实宿主验收，不是可安装版本。</w:t>
      </w:r>
    </w:p>
    <w:p>
      <w:pPr>
        <w:pStyle w:val="ListNumber"/>
        <w:numPr>
          <w:ilvl w:val="0"/>
          <w:numId w:val="11"/>
        </w:numPr>
      </w:pPr>
      <w:r>
        <w:t>正式发布固定为通用版与 WorkBuddy 跨平台版，不再维护其他宿主的平台专用版本。</w:t>
      </w:r>
    </w:p>
    <w:p>
      <w:pPr>
        <w:pStyle w:val="ListNumber"/>
        <w:numPr>
          <w:ilvl w:val="0"/>
          <w:numId w:val="11"/>
        </w:numPr>
      </w:pPr>
      <w:r>
        <w:t>下载后核对网站展示的版本、SHA-256 和发布说明，再按对应平台的官方 Skills 或插件导入方式安装。</w:t>
      </w:r>
    </w:p>
    <w:p>
      <w:pPr>
        <w:pStyle w:val="ListNumber"/>
        <w:numPr>
          <w:ilvl w:val="0"/>
          <w:numId w:val="11"/>
        </w:numPr>
      </w:pPr>
      <w:r>
        <w:t>网站不会扫描本机磁盘，不运行动态命令，也不会通过管理员权限绕过 Gatekeeper、SmartScreen 或企业安全策略。</w:t>
      </w:r>
    </w:p>
    <w:p>
      <w:pPr>
        <w:pStyle w:val="Heading2"/>
      </w:pPr>
      <w:r>
        <w:t>安装 Skills</w:t>
      </w:r>
    </w:p>
    <w:p>
      <w:pPr>
        <w:pStyle w:val="ListNumber"/>
        <w:numPr>
          <w:ilvl w:val="0"/>
          <w:numId w:val="12"/>
        </w:numPr>
      </w:pPr>
      <w:r>
        <w:t>登录网站，进入“Skills → 版本与下载”。</w:t>
      </w:r>
    </w:p>
    <w:p>
      <w:pPr>
        <w:pStyle w:val="ListNumber"/>
        <w:numPr>
          <w:ilvl w:val="0"/>
          <w:numId w:val="12"/>
        </w:numPr>
      </w:pPr>
      <w:r>
        <w:t>网站会根据当前正式发布记录分别展示通用包和 WorkBuddy 包。通用包按宿主要求导入；只有 WorkBuddy 状态明确显示“可安装”时，才可以使用对应跨平台插件市场 ZIP。处于“暂停新安装”“候选”或“待实机验收”的包都不能安装。</w:t>
      </w:r>
    </w:p>
    <w:p>
      <w:pPr>
        <w:pStyle w:val="ListNumber"/>
        <w:numPr>
          <w:ilvl w:val="0"/>
          <w:numId w:val="12"/>
        </w:numPr>
      </w:pPr>
      <w:r>
        <w:t>通用包将 skills 文件夹拖入或导入当前 Agent 的 Skills 目录或工作区；平台增强包按网站对应卡片和平台官方方式安装。</w:t>
      </w:r>
    </w:p>
    <w:p>
      <w:pPr>
        <w:pStyle w:val="ListNumber"/>
        <w:numPr>
          <w:ilvl w:val="0"/>
          <w:numId w:val="12"/>
        </w:numPr>
      </w:pPr>
      <w:r>
        <w:t>在 Agent 中输入：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请检查企业全生命周期助手是否安装完整，并启动首次配置向导。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若Agent不能直接识别 SKILL.md，使用Agent提供的Skill导入或转换能力。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首次安装后先输入：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检查下知识库连接状态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WorkBuddy 完成 jiaotang-kb 运行时连接并成功调用知识库状态工具后，再输入：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帮我安装OCR、PDF、Word、PPT、Excel和联网检索这几个Skills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通用文档、OCR和联网能力由宿主 Agent 提供，不在企业全生命周期助手中重复打包。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可安装的 WorkBuddy 正式包必须在签名文件集合中包含插件根目录 .mcp.json，并由 plugin.json 使用相对路径声明 MCP。安装后必须通过真实 tools/list 枚举和至少一次只读工具调用；只有页面状态和这两项运行时检查全部通过才算完成。不得自行删除 .mcp.json，不得把候选包当作正式包，也不得从临时解压目录长期注册市场。</w:t>
      </w:r>
    </w:p>
    <w:p>
      <w:pPr>
        <w:pStyle w:val="Heading2"/>
      </w:pPr>
      <w:r>
        <w:t>连接团队知识库</w:t>
      </w:r>
    </w:p>
    <w:p>
      <w:pPr>
        <w:pStyle w:val="ListNumber"/>
        <w:numPr>
          <w:ilvl w:val="0"/>
          <w:numId w:val="13"/>
        </w:numPr>
      </w:pPr>
      <w:r>
        <w:t>登录网站，进入“连接我的 Agent”。</w:t>
      </w:r>
    </w:p>
    <w:p>
      <w:pPr>
        <w:pStyle w:val="ListNumber"/>
        <w:numPr>
          <w:ilvl w:val="0"/>
          <w:numId w:val="13"/>
        </w:numPr>
      </w:pPr>
      <w:r>
        <w:t>点击第一步“复制给 Agent”，将审查说明粘贴给当前本地 Agent；这一步不会下载安装。</w:t>
      </w:r>
    </w:p>
    <w:p>
      <w:pPr>
        <w:pStyle w:val="ListNumber"/>
        <w:numPr>
          <w:ilvl w:val="0"/>
          <w:numId w:val="13"/>
        </w:numPr>
      </w:pPr>
      <w:r>
        <w:t>核对审查结论后回到网站，点击第二步“我已审查，复制安装指令”，再粘贴给同一个 Agent。</w:t>
      </w:r>
    </w:p>
    <w:p>
      <w:pPr>
        <w:pStyle w:val="ListNumber"/>
        <w:numPr>
          <w:ilvl w:val="0"/>
          <w:numId w:val="13"/>
        </w:numPr>
      </w:pPr>
      <w:r>
        <w:t>Agent 使用一次性受限地址自动下载、校验并安装插件包，主人不需要提前手工下载。若 WorkBuddy 5.3.x 把 ${CODEBUDDY_PLUGIN_ROOT} 当成字面量导致 MCP -32000，安装指令只修复用户级 jiaotang-kb 条目的绝对路径，不改签名插件副本。</w:t>
      </w:r>
    </w:p>
    <w:p>
      <w:pPr>
        <w:pStyle w:val="ListNumber"/>
        <w:numPr>
          <w:ilvl w:val="0"/>
          <w:numId w:val="13"/>
        </w:numPr>
      </w:pPr>
      <w:r>
        <w:t>插件加载并枚举 jiaotang_kb_setup 后，回到网站点击第三步“复制知识库绑定指令”，再粘贴给同一个 Agent。门户在这一步生成并刷新一次性 bootstrap_url。</w:t>
      </w:r>
    </w:p>
    <w:p>
      <w:pPr>
        <w:pStyle w:val="ListNumber"/>
        <w:numPr>
          <w:ilvl w:val="0"/>
          <w:numId w:val="13"/>
        </w:numPr>
      </w:pPr>
      <w:r>
        <w:t>Agent 仅将 bootstrap_url 作为本地 jiaotang_kb_setup 工具参数调用一次，不在回复中复述，不写入普通配置。</w:t>
      </w:r>
    </w:p>
    <w:p>
      <w:pPr>
        <w:pStyle w:val="ListNumber"/>
        <w:numPr>
          <w:ilvl w:val="0"/>
          <w:numId w:val="13"/>
        </w:numPr>
      </w:pPr>
      <w:r>
        <w:t>绑定后让 Agent 检查知识库连接状态；实际调用任一只读状态或检索工具成功后，首次配置才结束。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只有选择“手工配置”时才需要自行前往 Skills 中心下载插件包。自动三步流程和手工下载是二选一，不需要重复执行。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普通成员无需查看或保存个人 API Key、设备私钥和 MCP 请求头。同一账号同时只能绑定一台设备；换机时先在门户点击“更换绑定设备”，再把新的配置发送给新设备 Agent。管理员账号不执行该设备限制。</w:t>
      </w:r>
    </w:p>
    <w:p>
      <w:pPr>
        <w:pStyle w:val="Heading2"/>
      </w:pPr>
      <w:r>
        <w:t>跨版本升级</w:t>
      </w:r>
    </w:p>
    <w:p>
      <w:pPr>
        <w:pStyle w:val="ListNumber"/>
        <w:numPr>
          <w:ilvl w:val="0"/>
          <w:numId w:val="14"/>
        </w:numPr>
      </w:pPr>
      <w:r>
        <w:t>登录网站，进入“Skills → 安装与设备”。门户只有在已验收设备版本低于最新可安装的 WorkBuddy 正式包时才显示升级按钮；页面显示的目标版本是本次升级唯一依据。</w:t>
      </w:r>
    </w:p>
    <w:p>
      <w:pPr>
        <w:pStyle w:val="ListNumber"/>
        <w:numPr>
          <w:ilvl w:val="0"/>
          <w:numId w:val="14"/>
        </w:numPr>
      </w:pPr>
      <w:r>
        <w:t>点击第一步生成升级审查计划，并粘贴给当前设备的同一个 Agent。核对源版本、源包哈希、目标版本、目标包哈希、发布者指纹、身份复用范围和回滚方法。</w:t>
      </w:r>
    </w:p>
    <w:p>
      <w:pPr>
        <w:pStyle w:val="ListNumber"/>
        <w:numPr>
          <w:ilvl w:val="0"/>
          <w:numId w:val="14"/>
        </w:numPr>
      </w:pPr>
      <w:r>
        <w:t>回到门户点击第二步明确授权，再把升级确认粘贴给同一个 Agent。</w:t>
      </w:r>
    </w:p>
    <w:p>
      <w:pPr>
        <w:pStyle w:val="ListNumber"/>
        <w:numPr>
          <w:ilvl w:val="0"/>
          <w:numId w:val="14"/>
        </w:numPr>
      </w:pPr>
      <w:r>
        <w:t>Agent 使用 WorkBuddy 内置插件管理器升级已签名插件，复用原设备标识、Ed25519 设备密钥、API Token、bootstrap_url 和 jiaotang-kb MCP，不重新登记设备。</w:t>
      </w:r>
    </w:p>
    <w:p>
      <w:pPr>
        <w:pStyle w:val="ListNumber"/>
        <w:numPr>
          <w:ilvl w:val="0"/>
          <w:numId w:val="14"/>
        </w:numPr>
      </w:pPr>
      <w:r>
        <w:t>目标包验签、插件启用和任一只读 jiaotang-kb 调用全部通过后，Agent 回传目标版本和目标包哈希；门户只在二者与固定升级计划完全一致时更新设备版本。</w:t>
      </w:r>
    </w:p>
    <w:p>
      <w:pPr>
        <w:pStyle w:val="ListNumber"/>
        <w:numPr>
          <w:ilvl w:val="0"/>
          <w:numId w:val="14"/>
        </w:numPr>
      </w:pPr>
      <w:r>
        <w:t>任一步失败时恢复升级前插件目录，保留原设备身份和系统凭据，并在门户显示失败阶段和下一步。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跨版本升级不要求用户删除旧插件、移除整个 jiaotang 持久市场或重新绑定设备。升级计划生成后固定目标包，不会在执行过程中自动切换到其他版本。</w:t>
      </w:r>
    </w:p>
    <w:p>
      <w:pPr>
        <w:pStyle w:val="Heading2"/>
      </w:pPr>
      <w:r>
        <w:t>个人偏好与跨设备同步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右上角用户菜单进入“我的使用习惯”。日常只需修改页面选项并保存：</w:t>
      </w:r>
    </w:p>
    <w:p>
      <w:pPr>
        <w:pStyle w:val="ListBullet"/>
      </w:pPr>
      <w:r>
        <w:t>同一账号换电脑后自动继承地区、格式、详细程度、语气和术语习惯。</w:t>
      </w:r>
    </w:p>
    <w:p>
      <w:pPr>
        <w:pStyle w:val="ListBullet"/>
      </w:pPr>
      <w:r>
        <w:t>改错时可撤销上一版或恢复官方默认，历史记录不会删除。</w:t>
      </w:r>
    </w:p>
    <w:p>
      <w:pPr>
        <w:pStyle w:val="ListBullet"/>
      </w:pPr>
      <w:r>
        <w:t>对Agent说“默认这么写”或“记住我的习惯”时，Agent自动保存为个人习惯，不再修改正式Skill。</w:t>
      </w:r>
    </w:p>
    <w:p>
      <w:pPr>
        <w:pStyle w:val="ListBullet"/>
      </w:pPr>
      <w:r>
        <w:t>旧版Skill曾被手工修改时，对Agent说“请迁移我的旧版Skills个人习惯，并同步到云端”。系统自动备份旧文件、接收安全习惯并列出无法自动处理的内容。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本地文件、偏好API和三方合并属于后台实现，普通用户不需要手工操作。</w:t>
      </w:r>
    </w:p>
    <w:p>
      <w:pPr>
        <w:pStyle w:val="Heading2"/>
      </w:pPr>
      <w:r>
        <w:t>知识库连接完整验收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可让 Agent 按以下顺序执行，不必把凭据发给管理员：</w:t>
      </w:r>
    </w:p>
    <w:p>
      <w:pPr>
        <w:pStyle w:val="ListNumber"/>
        <w:numPr>
          <w:ilvl w:val="0"/>
          <w:numId w:val="15"/>
        </w:numPr>
      </w:pPr>
      <w:r>
        <w:t>GET /v1/me：返回当前英文登录账号。</w:t>
      </w:r>
    </w:p>
    <w:p>
      <w:pPr>
        <w:pStyle w:val="ListNumber"/>
        <w:numPr>
          <w:ilvl w:val="0"/>
          <w:numId w:val="15"/>
        </w:numPr>
      </w:pPr>
      <w:r>
        <w:t>POST /v1/search：检索一个非敏感公开关键词。</w:t>
      </w:r>
    </w:p>
    <w:p>
      <w:pPr>
        <w:pStyle w:val="ListNumber"/>
        <w:numPr>
          <w:ilvl w:val="0"/>
          <w:numId w:val="15"/>
        </w:numPr>
      </w:pPr>
      <w:r>
        <w:t>GET /v1/documents/{id}：读取上一步命中的文档。</w:t>
      </w:r>
    </w:p>
    <w:p>
      <w:pPr>
        <w:pStyle w:val="ListNumber"/>
        <w:numPr>
          <w:ilvl w:val="0"/>
          <w:numId w:val="15"/>
        </w:numPr>
      </w:pPr>
      <w:r>
        <w:t>GET /v1/usage：返回当前用户调用记录。</w:t>
      </w:r>
    </w:p>
    <w:p>
      <w:pPr>
        <w:pStyle w:val="ListNumber"/>
        <w:numPr>
          <w:ilvl w:val="0"/>
          <w:numId w:val="15"/>
        </w:numPr>
      </w:pPr>
      <w:r>
        <w:t>MCP初始化并读取工具列表，再调用知识服务状态或知识检索工具。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五步全部成功才算REST与MCP完整端到端验收通过。当前网站只接受门户签发的访问凭据；仅打开网站或仅返回401不算通过。</w:t>
      </w:r>
    </w:p>
    <w:p>
      <w:pPr>
        <w:pStyle w:val="Heading2"/>
      </w:pPr>
      <w:r>
        <w:t>可选外部能力</w:t>
      </w:r>
    </w:p>
    <w:p>
      <w:pPr>
        <w:pStyle w:val="ListBullet"/>
      </w:pPr>
      <w:r>
        <w:t>天眼查：用于企业主体、工商变更、历年名称和当前登记地区的首轮分诊。</w:t>
      </w:r>
    </w:p>
    <w:p>
      <w:pPr>
        <w:pStyle w:val="ListBullet"/>
      </w:pPr>
      <w:r>
        <w:t>企查查：增强工商、股权、风险和知识产权画像，可通过网站保留的企查查入口注册并按供应商说明配置API或MCP。</w:t>
      </w:r>
    </w:p>
    <w:p>
      <w:pPr>
        <w:pStyle w:val="ListBullet"/>
      </w:pPr>
      <w:r>
        <w:t>BigQuery Patents：增强全球专利批量检索、同族和引证分析。</w:t>
      </w:r>
    </w:p>
    <w:p>
      <w:pPr>
        <w:pStyle w:val="ListBullet"/>
      </w:pPr>
      <w:r>
        <w:t>浏览器或Playwright：用于政府官网核验和合法登录后的网页任务。</w:t>
      </w:r>
    </w:p>
    <w:p>
      <w:pPr>
        <w:pStyle w:val="ListBullet"/>
      </w:pPr>
      <w:r>
        <w:t>企策顾问：仅作项目发现线索，正式条件、金额、日期和名单必须回到政府原文核验。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所有外部能力由统一首次配置向导检测，避免每个 Skill 重复配置。</w:t>
      </w:r>
    </w:p>
    <w:p>
      <w:pPr>
        <w:pStyle w:val="Heading1"/>
      </w:pPr>
      <w:r>
        <w:t>3. 能力边界</w:t>
      </w:r>
    </w:p>
    <w:p>
      <w:pPr>
        <w:pStyle w:val="ListBullet"/>
      </w:pPr>
      <w:r>
        <w:t>覆盖政府项目检索、匹配、体检、材料编写、企业分析、专利、法律法规、制造业财税风险和交付归档，但不承诺一定符合或一定获批。</w:t>
      </w:r>
    </w:p>
    <w:p>
      <w:pPr>
        <w:pStyle w:val="ListBullet"/>
      </w:pPr>
      <w:r>
        <w:t>系统后台自动执行政策来源排序与版本核验；用户只需核对结论引用的文件名称、来源链接、效力状态和当期通知。</w:t>
      </w:r>
    </w:p>
    <w:p>
      <w:pPr>
        <w:pStyle w:val="ListBullet"/>
      </w:pPr>
      <w:r>
        <w:t>云端知识库由管理员统一上传、修改、删除和重建索引；成员的地区政策增改删保存在本人本地工作区，不写入云端。</w:t>
      </w:r>
    </w:p>
    <w:p>
      <w:pPr>
        <w:pStyle w:val="ListBullet"/>
      </w:pPr>
      <w:r>
        <w:t>无可靠数据时不推算企业财务，不以第三方过期数据替代客户材料。</w:t>
      </w:r>
    </w:p>
    <w:p>
      <w:pPr>
        <w:pStyle w:val="ListBullet"/>
      </w:pPr>
      <w:r>
        <w:t>审中专利不能作为授权成果使用；专利任务必须区分有效授权、审中、失效和转让取得。</w:t>
      </w:r>
    </w:p>
    <w:p>
      <w:pPr>
        <w:pStyle w:val="ListBullet"/>
      </w:pPr>
      <w:r>
        <w:t>专利检索、FTO和侵权预警属于初筛，不替代专利代理师或律师的正式意见。</w:t>
      </w:r>
    </w:p>
    <w:p>
      <w:pPr>
        <w:pStyle w:val="ListBullet"/>
      </w:pPr>
      <w:r>
        <w:t>法律 Skill 可做法规检索、效力核验、公司法与项目合规自查，不替代执业律师针对具体交易、争议或诉讼出具的法律意见。</w:t>
      </w:r>
    </w:p>
    <w:p>
      <w:pPr>
        <w:pStyle w:val="ListBullet"/>
      </w:pPr>
      <w:r>
        <w:t>OCR结果不是天然准确，企业名称、名单序号、金额、日期和表格列必须抽样复核。</w:t>
      </w:r>
    </w:p>
    <w:p>
      <w:pPr>
        <w:pStyle w:val="ListBullet"/>
      </w:pPr>
      <w:r>
        <w:t>当前检索层未命中只能说明“未命中”，不能据此断言资料或项目不存在。</w:t>
      </w:r>
    </w:p>
    <w:p>
      <w:pPr>
        <w:pStyle w:val="Heading1"/>
      </w:pPr>
      <w:r>
        <w:t>4. 项目算法与政策版本</w:t>
      </w:r>
    </w:p>
    <w:p>
      <w:pPr>
        <w:pStyle w:val="Heading2"/>
      </w:pPr>
      <w:r>
        <w:t>系统如何评估一家企业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系统按以下顺序执行：</w:t>
      </w:r>
    </w:p>
    <w:p>
      <w:pPr>
        <w:pStyle w:val="ListNumber"/>
        <w:numPr>
          <w:ilvl w:val="0"/>
          <w:numId w:val="16"/>
        </w:numPr>
      </w:pPr>
      <w:r>
        <w:t>锚定企业主体和目标属地。</w:t>
      </w:r>
    </w:p>
    <w:p>
      <w:pPr>
        <w:pStyle w:val="ListNumber"/>
        <w:numPr>
          <w:ilvl w:val="0"/>
          <w:numId w:val="16"/>
        </w:numPr>
      </w:pPr>
      <w:r>
        <w:t>识别标准项目名称、项目族和历史别名。</w:t>
      </w:r>
    </w:p>
    <w:p>
      <w:pPr>
        <w:pStyle w:val="ListNumber"/>
        <w:numPr>
          <w:ilvl w:val="0"/>
          <w:numId w:val="16"/>
        </w:numPr>
      </w:pPr>
      <w:r>
        <w:t>选择任务时间类型，包括正式判断、当年申报前准备、历史回放、预测或回测。</w:t>
      </w:r>
    </w:p>
    <w:p>
      <w:pPr>
        <w:pStyle w:val="ListNumber"/>
        <w:numPr>
          <w:ilvl w:val="0"/>
          <w:numId w:val="16"/>
        </w:numPr>
      </w:pPr>
      <w:r>
        <w:t>读取稳定管理办法、当年度通知、属地规则和适用的征求意见前瞻层。</w:t>
      </w:r>
    </w:p>
    <w:p>
      <w:pPr>
        <w:pStyle w:val="ListNumber"/>
        <w:numPr>
          <w:ilvl w:val="0"/>
          <w:numId w:val="16"/>
        </w:numPr>
      </w:pPr>
      <w:r>
        <w:t>将企业事实送入项目规则树，执行叶节点阈值及 all/any 组合判断。</w:t>
      </w:r>
    </w:p>
    <w:p>
      <w:pPr>
        <w:pStyle w:val="ListNumber"/>
        <w:numPr>
          <w:ilvl w:val="0"/>
          <w:numId w:val="16"/>
        </w:numPr>
      </w:pPr>
      <w:r>
        <w:t>输出符合、不符合、待补材料或当前无法判断，并列明政策来源和企业事实缺口。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系统不会因为政策库暂时未命中就断言项目不存在，也不会用省级政策替代必须由市、区县规则决定的结论。已核验且明确替代旧政策的征求意见稿，在申报尚未开放时作为准备与预测主基线，但始终标注为尚未正式生效。</w:t>
      </w:r>
    </w:p>
    <w:p>
      <w:pPr>
        <w:pStyle w:val="Heading2"/>
      </w:pPr>
      <w:r>
        <w:t>企业项目身份数字孪生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系统把名单身份和规则判断分开保存。认定年度、认定时名称和认定时地区以名单原文为准；当前企业名称、统一社会信用代码、现注册地址和登记机关来自当前工商核验。更名、迁址、复评、复核、失效和重新认定形成独立生命周期事件，因此可以回放企业某一年为何具有某项身份。</w:t>
      </w:r>
    </w:p>
    <w:p>
      <w:pPr>
        <w:pStyle w:val="Heading2"/>
      </w:pPr>
      <w:r>
        <w:t>交付契约负责什么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算法负责项目规则、政策版本和企业事实判断；交付契约负责最终文件是否完整。不同报告类型分别约束：</w:t>
      </w:r>
    </w:p>
    <w:p>
      <w:pPr>
        <w:pStyle w:val="ListBullet"/>
      </w:pPr>
      <w:r>
        <w:t>必填章节和结论顺序。</w:t>
      </w:r>
    </w:p>
    <w:p>
      <w:pPr>
        <w:pStyle w:val="ListBullet"/>
      </w:pPr>
      <w:r>
        <w:t>政策原文、企业事实、同行对比和证据台账。</w:t>
      </w:r>
    </w:p>
    <w:p>
      <w:pPr>
        <w:pStyle w:val="ListBullet"/>
      </w:pPr>
      <w:r>
        <w:t>内置表格、数据口径和文件格式。</w:t>
      </w:r>
    </w:p>
    <w:p>
      <w:pPr>
        <w:pStyle w:val="ListBullet"/>
      </w:pPr>
      <w:r>
        <w:t>焦糖品牌、Logo、水印和版式审计。</w:t>
      </w:r>
    </w:p>
    <w:p>
      <w:pPr>
        <w:pStyle w:val="ListBullet"/>
      </w:pPr>
      <w:r>
        <w:t>四问复盘和后续行动。</w:t>
      </w:r>
    </w:p>
    <w:p>
      <w:pPr>
        <w:pStyle w:val="ListBullet"/>
      </w:pPr>
      <w:r>
        <w:t>产物 SHA-256 与验证记录一致。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门禁失败时，自动修复器只生成缺失章节、表格、证据或重新渲染的精确任务，不会用一段“已完成”说明代替实际文件验收。</w:t>
      </w:r>
    </w:p>
    <w:p>
      <w:pPr>
        <w:pStyle w:val="Heading2"/>
      </w:pPr>
      <w:r>
        <w:t>专利入口说明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用户提出专利任务时，先进入 jiaotang-patent-router 判断是查新、布局、挖掘、交底、预审、FTO、审查意见还是项目申报证据任务。需要检查中国专利申请 Word 文件时，再进入 checking-patdocx-cn-single-agent。授权、审中、失效和转让取得必须分别标注；FTO 和侵权预警仅作初筛。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需要形成完整申请文件时，系统先创建每案唯一的 patent-case-manifest，再从确认后的事实锁 JSON 通过同一个生成器形成申请 Word 和附图规范。交底、检索证据、权利要求现有技术矩阵、核稿验证、预审建议和提交清单均回写同一清单。提交前契约检查文件哈希、案件版本和依赖关系；任一阶段错版或缺失都会给出具体重建任务。匿名测试夹具只用于升级回归，不能作为真实申请案卷。</w:t>
      </w:r>
    </w:p>
    <w:p>
      <w:pPr>
        <w:pStyle w:val="Heading1"/>
      </w:pPr>
      <w:r>
        <w:t>5. 技能覆盖</w:t>
      </w:r>
    </w:p>
    <w:p>
      <w:pPr>
        <w:pStyle w:val="Heading2"/>
      </w:pPr>
      <w:r>
        <w:t>总入口、配置与知识能力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project-application-assistant、project-task-router、first-run-configuration、local-knowledge-retrieval、project-memory、evidence-ledger、graphify、project-deliverable-archive。</w:t>
      </w:r>
    </w:p>
    <w:p>
      <w:pPr>
        <w:pStyle w:val="Heading2"/>
      </w:pPr>
      <w:r>
        <w:t>政策检索、项目匹配与规则维护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policy-retrieval、project-matching、project-feasibility、project-rule-manager、third-party-data-indexing、web-task-operator、peer-benchmarking、industry-positioning、industry-chain-foundation-matcher。</w:t>
      </w:r>
    </w:p>
    <w:p>
      <w:pPr>
        <w:pStyle w:val="Heading2"/>
      </w:pPr>
      <w:r>
        <w:t>项目类别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sme-score-preassessment、sme-development-projects、high-tech-enterprise-preassessment、technology-innovation-projects、industrialization-projects、digitalization-projects、green-development-projects、quality-brand-projects、intellectual-property-projects、talent-projects、investment-subsidy-projects、trade-and-open-economy-projects、agriculture-and-rural-projects、regional-special-projects。</w:t>
      </w:r>
    </w:p>
    <w:p>
      <w:pPr>
        <w:pStyle w:val="Heading2"/>
      </w:pPr>
      <w:r>
        <w:t>企业分析、申报材料与财税法律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enterprise-profile、enterprise-panorama-analysis、application-writing、application-version-diff、consistency-check、financial-verification、manufacturing-tax-risk-analysis、jiaotang-legal-regulations。</w:t>
      </w:r>
    </w:p>
    <w:p>
      <w:pPr>
        <w:pStyle w:val="Heading2"/>
      </w:pPr>
      <w:r>
        <w:t>标准起草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standard-drafting：按现行GB/T 1.1及适用专项规则完成标准立项分析、结构设计、条款起草、编制说明、征求意见处理和一致性审查。</w:t>
      </w:r>
    </w:p>
    <w:p>
      <w:pPr>
        <w:pStyle w:val="Heading2"/>
      </w:pPr>
      <w:r>
        <w:t>专利与知识产权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jiaotang-patent-router、checking-patdocx-cn-single-agent、ip-assessment。公司级专利工作统一进入总路由；中国专利申请 Word 核稿保持独立。</w:t>
      </w:r>
    </w:p>
    <w:p>
      <w:pPr>
        <w:pStyle w:val="Heading2"/>
      </w:pPr>
      <w:r>
        <w:t>受控自进化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skill-authoring、skill-curator、skill-evolution、evolution-governance、experience-recorder。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安装后受控自进化、纠错记录、影响分析和任务结束四问复盘默认启用，但正式团队 Skill 的修改和发布仍需人工审批。</w:t>
      </w:r>
    </w:p>
    <w:p>
      <w:pPr>
        <w:pStyle w:val="Heading1"/>
      </w:pPr>
      <w:r>
        <w:t>6. 法律 Skill 能做什么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jiaotang-legal-regulations 负责把企业事实与现行法律法规建立证据链，主要输出：</w:t>
      </w:r>
    </w:p>
    <w:p>
      <w:pPr>
        <w:pStyle w:val="ListBullet"/>
      </w:pPr>
      <w:r>
        <w:t>按国家、省、市、区县和行业生成法规适用矩阵。</w:t>
      </w:r>
    </w:p>
    <w:p>
      <w:pPr>
        <w:pStyle w:val="ListBullet"/>
      </w:pPr>
      <w:r>
        <w:t>识别政策或规范文件的现行、历史、废止、失效、替代和过渡状态。</w:t>
      </w:r>
    </w:p>
    <w:p>
      <w:pPr>
        <w:pStyle w:val="ListBullet"/>
      </w:pPr>
      <w:r>
        <w:t>检查项目承诺、重复申报、财政资金、信用惩戒、材料真实性和知识产权状态风险。</w:t>
      </w:r>
    </w:p>
    <w:p>
      <w:pPr>
        <w:pStyle w:val="ListBullet"/>
      </w:pPr>
      <w:r>
        <w:t>按新公司法检查注册资本与出资、章程、治理、董监高责任、关联交易、股权转让、利润分配、减资、清算和注销。</w:t>
      </w:r>
    </w:p>
    <w:p>
      <w:pPr>
        <w:pStyle w:val="ListBullet"/>
      </w:pPr>
      <w:r>
        <w:t>对研发财税、知识产权、客户资料和数据处理给出合规红线、补证清单和整改计划。</w:t>
      </w:r>
    </w:p>
    <w:p>
      <w:r>
        <w:rPr>
          <w:rFonts w:ascii="Arial Unicode MS" w:hAnsi="Arial Unicode MS" w:eastAsia="Arial Unicode MS" w:cs="Arial Unicode MS"/>
          <w:b w:val="0"/>
          <w:i w:val="0"/>
          <w:color w:val="202B38"/>
          <w:sz w:val="22"/>
        </w:rPr>
        <w:t>标准输出顺序为“事实、适用规则、判断、风险、补证材料、整改动作”。涉及具体合同、交易、争议、行政处罚或诉讼时，应转交执业律师复核。</w:t>
      </w:r>
    </w:p>
    <w:p>
      <w:pPr>
        <w:pStyle w:val="Heading1"/>
      </w:pPr>
      <w:r>
        <w:t>7. 常用指令</w:t>
      </w:r>
    </w:p>
    <w:p>
      <w:pPr>
        <w:pStyle w:val="Heading2"/>
      </w:pPr>
      <w:r>
        <w:t>安装与连接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请检查企业全生命周期助手是否安装完整，并启动首次配置向导。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请测试团队知识库REST API和MCP是否完整可用，并逐步报告 /v1/me、检索、文档读取、用量和MCP工具调用结果。</w:t>
      </w:r>
    </w:p>
    <w:p>
      <w:pPr>
        <w:pStyle w:val="Heading2"/>
      </w:pPr>
      <w:r>
        <w:t>企业与项目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帮我出具这家企业全景分析报告，先列事实来源，再给风险和合作建议。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分析这家企业目前能申报哪些政府项目，按国家、省、市、区县分层，并给出未来五年规划。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这家企业想申报研究院，请核验当前项目名称、现行政策、申报条件、差距和材料清单。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查询这家企业同行中有哪些专精特新或小巨人企业，列出名单序号、批次、地区和原始来源。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请对这家企业做高企申报前评估，比较今年与明年的硬门槛、成长性、三档评分和补强计划。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请先生成专精特新或小巨人申报前评分用的三年财务底表，待我回传并确认项目版本后再评分。</w:t>
      </w:r>
    </w:p>
    <w:p>
      <w:pPr>
        <w:pStyle w:val="Heading2"/>
      </w:pPr>
      <w:r>
        <w:t>专精特新和小巨人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请先识别并让我确认申请书项目类型和版本，再体检这份材料。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按现行优质中小企业梯度培育管理办法，分析企业差距，并对主导产品、补短板、填空白、国产替代分别给出保留、替换或补证后保留结论。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严格按照包内产业链架构和工业六基目录匹配主导产品；没有直接分类时，给一个相似分类和一个分析判断分类。</w:t>
      </w:r>
    </w:p>
    <w:p>
      <w:pPr>
        <w:pStyle w:val="Heading2"/>
      </w:pPr>
      <w:r>
        <w:t>专利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根据现有资料和项目要求，为这家企业规划10个专利方向，并说明每个方向与产品、技术问题和项目指标的关系。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对这项产品做FTO初筛，区分公开文本、授权文本和法律状态，并列出仍需人工核验的权利要求。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审查这份专利交底书或申请文件，检查权利要求依附关系、保护范围、支持性和提交前风险。</w:t>
      </w:r>
    </w:p>
    <w:p>
      <w:pPr>
        <w:pStyle w:val="Heading2"/>
      </w:pPr>
      <w:r>
        <w:t>法律与财税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帮我排查这么做的法律风险，按事实、适用法规、风险等级、补证材料和整改动作输出。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按新公司法为这家企业做合规自查，重点检查出资、章程、治理、关联交易、股权转让、减资和清算风险。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帮我出具这家企业金税四期分析报告，复算近三年财务指标，区分已证实风险和待补证信号。</w:t>
      </w:r>
    </w:p>
    <w:p>
      <w:pPr>
        <w:pStyle w:val="Heading2"/>
      </w:pPr>
      <w:r>
        <w:t>政策版本与材料审查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核验这个政策是否仍然有效；如已废止，给出废止或替代依据、新项目名称、现行条件和官方原文。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帮我体检这份申报材料，检查数字、事实、主导产品、知识产权和章节之间的一致性。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对比这两个版本的申报材料，列出数据变化、表述升级、遗漏和新增风险。</w:t>
      </w:r>
    </w:p>
    <w:p>
      <w:pPr>
        <w:pStyle w:val="Heading2"/>
      </w:pPr>
      <w:r>
        <w:t>标准撰写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请按现行GB/T 1.1帮我起草这项企业标准。先判断标准类型，核验法规和现行同类标准，再输出标准设计、要求—试验方法—判定规则矩阵、标准草案和编制说明。</w:t>
      </w:r>
    </w:p>
    <w:p>
      <w:pPr>
        <w:spacing w:before="20" w:after="20" w:line="240" w:lineRule="auto"/>
        <w:ind w:left="259" w:right="259"/>
        <w:shd w:fill="F2F4F7"/>
      </w:pPr>
      <w:r>
        <w:rPr>
          <w:rFonts w:ascii="Arial Unicode MS" w:hAnsi="Arial Unicode MS" w:eastAsia="Arial Unicode MS" w:cs="Arial Unicode MS"/>
          <w:b w:val="0"/>
          <w:i w:val="0"/>
          <w:color w:val="202B38"/>
          <w:sz w:val="18"/>
        </w:rPr>
        <w:t>请审查这份标准草案，重点检查范围、规范性引用文件、术语、助动词、技术指标来源、要求与试验方法对应、检验规则和专利风险。</w:t>
      </w:r>
    </w:p>
    <w:p>
      <w:pPr>
        <w:pStyle w:val="Heading1"/>
      </w:pPr>
      <w:r>
        <w:t>8. 更新与问题处理</w:t>
      </w:r>
    </w:p>
    <w:p>
      <w:pPr>
        <w:pStyle w:val="ListBullet"/>
      </w:pPr>
      <w:r>
        <w:t>网站“Skills 下载”显示最新版、发布时间和更新说明。</w:t>
      </w:r>
    </w:p>
    <w:p>
      <w:pPr>
        <w:pStyle w:val="ListBullet"/>
      </w:pPr>
      <w:r>
        <w:t>下载新版本前核对版本、SHA-256、固定发布者签名和发布说明；候选包或待实机验收包不得安装。</w:t>
      </w:r>
    </w:p>
    <w:p>
      <w:pPr>
        <w:pStyle w:val="ListBullet"/>
      </w:pPr>
      <w:r>
        <w:t>WorkBuddy 已绑定设备通过门户升级事务复用原设备身份和系统凭据；验签或只读工具调用失败时恢复升级前插件目录。</w:t>
      </w:r>
    </w:p>
    <w:p>
      <w:pPr>
        <w:pStyle w:val="ListBullet"/>
      </w:pPr>
      <w:r>
        <w:t>网站保存不可变发布记录和升级结果；访问令牌、设备私钥及一次性引导地址不进入普通日志。</w:t>
      </w:r>
    </w:p>
    <w:p>
      <w:pPr>
        <w:pStyle w:val="ListBullet"/>
      </w:pPr>
      <w:r>
        <w:t>升级时运行 first-run-configuration/scripts/upgrade_inheritance.py。新版官方核心、个人覆盖层和云端偏好分别继承，自动生成升级继承报告。</w:t>
      </w:r>
    </w:p>
    <w:p>
      <w:pPr>
        <w:pStyle w:val="ListBullet"/>
      </w:pPr>
      <w:r>
        <w:t>升级工具以旧官方、当前安装和新官方三份 SKILL.md 哈希识别用户直接修改；旧文件进入可恢复备份，不会覆盖新版核心。需要保留的个人习惯应转为结构化偏好。</w:t>
      </w:r>
    </w:p>
    <w:p>
      <w:pPr>
        <w:pStyle w:val="ListBullet"/>
      </w:pPr>
      <w:r>
        <w:t>出现401：检查个人凭据是否完整、是否已被吊销，再重新生成并执行五步验收。</w:t>
      </w:r>
    </w:p>
    <w:p>
      <w:pPr>
        <w:pStyle w:val="ListBullet"/>
      </w:pPr>
      <w:r>
        <w:t>知识库未命中：确认地区、年度、项目别名和政策版本，再请求官方联网核验。</w:t>
      </w:r>
    </w:p>
    <w:p>
      <w:pPr>
        <w:pStyle w:val="ListBullet"/>
      </w:pPr>
      <w:r>
        <w:t>文档无法解析：先使用宿主OCR或文档能力转换为可检索PDF或Markdown，再由管理员上传。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 w:cs="Arial Unicode MS"/>
        <w:b w:val="0"/>
        <w:i w:val="0"/>
        <w:color w:val="5E6A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color w:val="202B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ind w:left="540" w:hanging="271"/>
      <w:contextualSpacing/>
    </w:pPr>
    <w:rPr>
      <w:rFonts w:ascii="Arial Unicode MS" w:hAnsi="Arial Unicode MS" w:eastAsia="Arial Unicode MS" w:cs="Arial Unicode MS"/>
      <w:color w:val="202B38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ind w:left="540" w:hanging="271"/>
      <w:contextualSpacing/>
    </w:pPr>
    <w:rPr>
      <w:rFonts w:ascii="Arial Unicode MS" w:hAnsi="Arial Unicode MS" w:eastAsia="Arial Unicode MS" w:cs="Arial Unicode MS"/>
      <w:color w:val="202B38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企业全生命周期助手用户使用手册</dc:title>
  <dc:subject>网站下载、安装、知识库连接与顾问作业说明</dc:subject>
  <dc:creator>焦糖</dc:creator>
  <cp:keywords>企业全生命周期助手, Skills, WorkBuddy, 知识库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