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kinsoku/>
        <w:spacing w:before="0" w:line="560" w:lineRule="exact"/>
        <w:ind w:firstLine="0" w:firstLineChars="0"/>
        <w:jc w:val="both"/>
        <w:rPr>
          <w:rFonts w:hint="eastAsia" w:ascii="黑体" w:hAnsi="黑体" w:eastAsia="黑体" w:cs="黑体"/>
          <w:b w:val="0"/>
          <w:bCs w:val="0"/>
          <w:spacing w:val="6"/>
          <w:sz w:val="32"/>
          <w:szCs w:val="32"/>
          <w:lang w:val="en-US" w:eastAsia="zh-CN"/>
        </w:rPr>
      </w:pPr>
      <w:r>
        <w:rPr>
          <w:rFonts w:hint="eastAsia" w:ascii="黑体" w:hAnsi="黑体" w:eastAsia="黑体" w:cs="黑体"/>
          <w:b w:val="0"/>
          <w:bCs w:val="0"/>
          <w:spacing w:val="6"/>
          <w:sz w:val="32"/>
          <w:szCs w:val="32"/>
          <w:lang w:val="en-US" w:eastAsia="zh-CN"/>
        </w:rPr>
        <w:t>附件</w:t>
      </w:r>
    </w:p>
    <w:p>
      <w:pPr>
        <w:widowControl w:val="0"/>
        <w:kinsoku/>
        <w:spacing w:before="0" w:line="560" w:lineRule="exact"/>
        <w:ind w:firstLine="664" w:firstLineChars="200"/>
        <w:jc w:val="both"/>
        <w:rPr>
          <w:rFonts w:hint="eastAsia" w:ascii="黑体" w:hAnsi="黑体" w:eastAsia="黑体" w:cs="黑体"/>
          <w:b w:val="0"/>
          <w:bCs w:val="0"/>
          <w:spacing w:val="6"/>
          <w:sz w:val="32"/>
          <w:szCs w:val="32"/>
          <w:lang w:val="en-US" w:eastAsia="zh-CN"/>
        </w:rPr>
      </w:pPr>
    </w:p>
    <w:p>
      <w:pPr>
        <w:widowControl w:val="0"/>
        <w:kinsoku/>
        <w:spacing w:before="0" w:line="560" w:lineRule="exact"/>
        <w:ind w:left="0" w:firstLine="0" w:firstLineChars="0"/>
        <w:jc w:val="center"/>
        <w:rPr>
          <w:rFonts w:ascii="宋体" w:hAnsi="宋体" w:eastAsia="宋体" w:cs="宋体"/>
          <w:b w:val="0"/>
          <w:bCs w:val="0"/>
          <w:sz w:val="43"/>
          <w:szCs w:val="43"/>
        </w:rPr>
      </w:pPr>
      <w:r>
        <w:rPr>
          <w:rFonts w:hint="eastAsia" w:ascii="方正小标宋_GBK" w:hAnsi="方正小标宋_GBK" w:eastAsia="方正小标宋_GBK" w:cs="方正小标宋_GBK"/>
          <w:b w:val="0"/>
          <w:bCs w:val="0"/>
          <w:spacing w:val="6"/>
          <w:sz w:val="44"/>
          <w:szCs w:val="44"/>
        </w:rPr>
        <w:t>杭州市知识产权保护中心专利快速预审</w:t>
      </w:r>
      <w:r>
        <w:rPr>
          <w:rFonts w:hint="eastAsia" w:ascii="方正小标宋_GBK" w:hAnsi="方正小标宋_GBK" w:eastAsia="方正小标宋_GBK" w:cs="方正小标宋_GBK"/>
          <w:b w:val="0"/>
          <w:bCs w:val="0"/>
          <w:spacing w:val="-4"/>
          <w:sz w:val="44"/>
          <w:szCs w:val="44"/>
        </w:rPr>
        <w:t>服务管理办法(</w:t>
      </w:r>
      <w:r>
        <w:rPr>
          <w:rFonts w:hint="eastAsia" w:ascii="方正小标宋_GBK" w:hAnsi="方正小标宋_GBK" w:eastAsia="方正小标宋_GBK" w:cs="方正小标宋_GBK"/>
          <w:b w:val="0"/>
          <w:bCs w:val="0"/>
          <w:spacing w:val="-4"/>
          <w:sz w:val="44"/>
          <w:szCs w:val="44"/>
          <w:lang w:val="en-US" w:eastAsia="zh-CN"/>
        </w:rPr>
        <w:t>2025修订</w:t>
      </w:r>
      <w:r>
        <w:rPr>
          <w:rFonts w:hint="eastAsia" w:ascii="方正小标宋_GBK" w:hAnsi="方正小标宋_GBK" w:eastAsia="方正小标宋_GBK" w:cs="方正小标宋_GBK"/>
          <w:b w:val="0"/>
          <w:bCs w:val="0"/>
          <w:spacing w:val="-4"/>
          <w:sz w:val="44"/>
          <w:szCs w:val="44"/>
        </w:rPr>
        <w:t>)</w:t>
      </w:r>
    </w:p>
    <w:p>
      <w:pPr>
        <w:widowControl w:val="0"/>
        <w:kinsoku/>
        <w:spacing w:line="560" w:lineRule="exact"/>
        <w:ind w:firstLine="420" w:firstLineChars="200"/>
        <w:jc w:val="both"/>
        <w:rPr>
          <w:rFonts w:ascii="Arial"/>
          <w:b w:val="0"/>
          <w:bCs w:val="0"/>
          <w:sz w:val="21"/>
        </w:rPr>
      </w:pPr>
    </w:p>
    <w:p>
      <w:pPr>
        <w:keepNext w:val="0"/>
        <w:keepLines w:val="0"/>
        <w:pageBreakBefore w:val="0"/>
        <w:widowControl w:val="0"/>
        <w:kinsoku/>
        <w:wordWrap/>
        <w:overflowPunct/>
        <w:topLinePunct w:val="0"/>
        <w:autoSpaceDE w:val="0"/>
        <w:autoSpaceDN w:val="0"/>
        <w:bidi w:val="0"/>
        <w:adjustRightInd w:val="0"/>
        <w:snapToGrid w:val="0"/>
        <w:spacing w:line="560" w:lineRule="exact"/>
        <w:ind w:left="0" w:firstLine="0" w:firstLineChars="0"/>
        <w:jc w:val="center"/>
        <w:textAlignment w:val="baseline"/>
        <w:outlineLvl w:val="0"/>
        <w:rPr>
          <w:rFonts w:ascii="黑体" w:hAnsi="黑体" w:eastAsia="黑体" w:cs="黑体"/>
          <w:b w:val="0"/>
          <w:bCs w:val="0"/>
          <w:sz w:val="32"/>
          <w:szCs w:val="32"/>
        </w:rPr>
      </w:pPr>
      <w:r>
        <w:rPr>
          <w:rFonts w:ascii="黑体" w:hAnsi="黑体" w:eastAsia="黑体" w:cs="黑体"/>
          <w:b w:val="0"/>
          <w:bCs w:val="0"/>
          <w:spacing w:val="29"/>
          <w:sz w:val="32"/>
          <w:szCs w:val="32"/>
        </w:rPr>
        <w:t>第一章</w:t>
      </w:r>
      <w:r>
        <w:rPr>
          <w:rFonts w:hint="eastAsia" w:ascii="黑体" w:hAnsi="黑体" w:eastAsia="黑体" w:cs="黑体"/>
          <w:b w:val="0"/>
          <w:bCs w:val="0"/>
          <w:spacing w:val="29"/>
          <w:sz w:val="32"/>
          <w:szCs w:val="32"/>
          <w:lang w:val="en-US" w:eastAsia="zh-CN"/>
        </w:rPr>
        <w:t xml:space="preserve"> </w:t>
      </w:r>
      <w:r>
        <w:rPr>
          <w:rFonts w:ascii="黑体" w:hAnsi="黑体" w:eastAsia="黑体" w:cs="黑体"/>
          <w:b w:val="0"/>
          <w:bCs w:val="0"/>
          <w:spacing w:val="29"/>
          <w:sz w:val="32"/>
          <w:szCs w:val="32"/>
        </w:rPr>
        <w:t>总则</w:t>
      </w:r>
    </w:p>
    <w:p>
      <w:pPr>
        <w:pStyle w:val="2"/>
        <w:widowControl w:val="0"/>
        <w:kinsoku/>
        <w:spacing w:before="0" w:line="560" w:lineRule="exact"/>
        <w:ind w:left="0" w:firstLine="675"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pacing w:val="8"/>
          <w:sz w:val="32"/>
          <w:szCs w:val="32"/>
        </w:rPr>
        <w:t>第一条</w:t>
      </w:r>
      <w:r>
        <w:rPr>
          <w:rFonts w:hint="eastAsia" w:ascii="仿宋_GB2312" w:hAnsi="仿宋_GB2312" w:eastAsia="仿宋_GB2312" w:cs="仿宋_GB2312"/>
          <w:b w:val="0"/>
          <w:bCs w:val="0"/>
          <w:spacing w:val="8"/>
          <w:sz w:val="32"/>
          <w:szCs w:val="32"/>
          <w:lang w:val="en-US" w:eastAsia="zh-CN"/>
        </w:rPr>
        <w:t xml:space="preserve"> </w:t>
      </w:r>
      <w:r>
        <w:rPr>
          <w:rFonts w:hint="eastAsia" w:ascii="仿宋_GB2312" w:hAnsi="仿宋_GB2312" w:eastAsia="仿宋_GB2312" w:cs="仿宋_GB2312"/>
          <w:b w:val="0"/>
          <w:bCs w:val="0"/>
          <w:spacing w:val="8"/>
          <w:sz w:val="32"/>
          <w:szCs w:val="32"/>
        </w:rPr>
        <w:t>为更好地发挥专利预审精准服务国家和区域发展战略，服务支持产业创新的积极作用，</w:t>
      </w:r>
      <w:r>
        <w:rPr>
          <w:rFonts w:hint="eastAsia" w:ascii="仿宋_GB2312" w:hAnsi="仿宋_GB2312" w:eastAsia="仿宋_GB2312" w:cs="仿宋_GB2312"/>
          <w:b w:val="0"/>
          <w:bCs w:val="0"/>
          <w:spacing w:val="8"/>
          <w:sz w:val="32"/>
          <w:szCs w:val="32"/>
          <w:lang w:val="en-US" w:eastAsia="zh-CN"/>
        </w:rPr>
        <w:t>规范备案主体及专利代理机构专利预审申请行为，提高专利预审审查效能，</w:t>
      </w:r>
      <w:r>
        <w:rPr>
          <w:rFonts w:hint="eastAsia" w:ascii="仿宋_GB2312" w:hAnsi="仿宋_GB2312" w:eastAsia="仿宋_GB2312" w:cs="仿宋_GB2312"/>
          <w:b w:val="0"/>
          <w:bCs w:val="0"/>
          <w:spacing w:val="8"/>
          <w:sz w:val="32"/>
          <w:szCs w:val="32"/>
        </w:rPr>
        <w:t>依据《知识产权保护中心和快速维权中心管理办法》（国知办发保字〔2023〕49号）、《专利申请预审业务管理办法（试行）》国知办发办字〔2023〕25号、《规范申请专利行为的规定》</w:t>
      </w:r>
      <w:r>
        <w:rPr>
          <w:rFonts w:hint="eastAsia" w:ascii="仿宋_GB2312" w:hAnsi="仿宋_GB2312" w:eastAsia="仿宋_GB2312" w:cs="仿宋_GB2312"/>
          <w:b w:val="0"/>
          <w:bCs w:val="0"/>
          <w:spacing w:val="8"/>
          <w:sz w:val="32"/>
          <w:szCs w:val="32"/>
          <w:lang w:eastAsia="zh-CN"/>
        </w:rPr>
        <w:t>（</w:t>
      </w:r>
      <w:r>
        <w:rPr>
          <w:rFonts w:hint="eastAsia" w:ascii="仿宋_GB2312" w:hAnsi="仿宋_GB2312" w:eastAsia="仿宋_GB2312" w:cs="仿宋_GB2312"/>
          <w:b w:val="0"/>
          <w:bCs w:val="0"/>
          <w:spacing w:val="8"/>
          <w:sz w:val="32"/>
          <w:szCs w:val="32"/>
        </w:rPr>
        <w:t>国家知识产权局令第77号</w:t>
      </w:r>
      <w:r>
        <w:rPr>
          <w:rFonts w:hint="eastAsia" w:ascii="仿宋_GB2312" w:hAnsi="仿宋_GB2312" w:eastAsia="仿宋_GB2312" w:cs="仿宋_GB2312"/>
          <w:b w:val="0"/>
          <w:bCs w:val="0"/>
          <w:spacing w:val="8"/>
          <w:sz w:val="32"/>
          <w:szCs w:val="32"/>
          <w:lang w:eastAsia="zh-CN"/>
        </w:rPr>
        <w:t>）</w:t>
      </w:r>
      <w:r>
        <w:rPr>
          <w:rFonts w:hint="eastAsia" w:ascii="仿宋_GB2312" w:hAnsi="仿宋_GB2312" w:eastAsia="仿宋_GB2312" w:cs="仿宋_GB2312"/>
          <w:b w:val="0"/>
          <w:bCs w:val="0"/>
          <w:spacing w:val="8"/>
          <w:sz w:val="32"/>
          <w:szCs w:val="32"/>
        </w:rPr>
        <w:t>、《国家知识产权局知识产权信用管理规定》（国知发保字〔2022〕8号）等有关政策文件，结合实际制定本办法。</w:t>
      </w:r>
    </w:p>
    <w:p>
      <w:pPr>
        <w:pStyle w:val="2"/>
        <w:widowControl w:val="0"/>
        <w:kinsoku/>
        <w:spacing w:before="0" w:line="560" w:lineRule="exact"/>
        <w:ind w:left="0" w:right="0" w:firstLine="675"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pacing w:val="8"/>
          <w:sz w:val="32"/>
          <w:szCs w:val="32"/>
        </w:rPr>
        <w:t>第二条</w:t>
      </w:r>
      <w:r>
        <w:rPr>
          <w:rFonts w:hint="eastAsia" w:ascii="仿宋_GB2312" w:hAnsi="仿宋_GB2312" w:eastAsia="仿宋_GB2312" w:cs="仿宋_GB2312"/>
          <w:b w:val="0"/>
          <w:bCs w:val="0"/>
          <w:spacing w:val="8"/>
          <w:sz w:val="32"/>
          <w:szCs w:val="32"/>
          <w:lang w:val="en-US" w:eastAsia="zh-CN"/>
        </w:rPr>
        <w:t xml:space="preserve"> 杭州市</w:t>
      </w:r>
      <w:r>
        <w:rPr>
          <w:rFonts w:hint="eastAsia" w:ascii="仿宋_GB2312" w:hAnsi="仿宋_GB2312" w:eastAsia="仿宋_GB2312" w:cs="仿宋_GB2312"/>
          <w:b w:val="0"/>
          <w:bCs w:val="0"/>
          <w:spacing w:val="8"/>
          <w:sz w:val="32"/>
          <w:szCs w:val="32"/>
        </w:rPr>
        <w:t>知识产权保护中心（以下简称“</w:t>
      </w:r>
      <w:r>
        <w:rPr>
          <w:rFonts w:hint="eastAsia" w:ascii="仿宋_GB2312" w:hAnsi="仿宋_GB2312" w:eastAsia="仿宋_GB2312" w:cs="仿宋_GB2312"/>
          <w:b w:val="0"/>
          <w:bCs w:val="0"/>
          <w:spacing w:val="8"/>
          <w:sz w:val="32"/>
          <w:szCs w:val="32"/>
          <w:lang w:val="en-US" w:eastAsia="zh-CN"/>
        </w:rPr>
        <w:t>杭州保护</w:t>
      </w:r>
      <w:r>
        <w:rPr>
          <w:rFonts w:hint="eastAsia" w:ascii="仿宋_GB2312" w:hAnsi="仿宋_GB2312" w:eastAsia="仿宋_GB2312" w:cs="仿宋_GB2312"/>
          <w:b w:val="0"/>
          <w:bCs w:val="0"/>
          <w:spacing w:val="8"/>
          <w:sz w:val="32"/>
          <w:szCs w:val="32"/>
        </w:rPr>
        <w:t>中心”）负责国家知识产权局核准的相关产业领域的专利预审服务及管理工作。</w:t>
      </w:r>
    </w:p>
    <w:p>
      <w:pPr>
        <w:pStyle w:val="2"/>
        <w:widowControl w:val="0"/>
        <w:kinsoku/>
        <w:spacing w:before="0" w:line="560" w:lineRule="exact"/>
        <w:ind w:left="0" w:right="0" w:firstLine="671"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pacing w:val="7"/>
          <w:sz w:val="32"/>
          <w:szCs w:val="32"/>
        </w:rPr>
        <w:t>第三条</w:t>
      </w:r>
      <w:r>
        <w:rPr>
          <w:rFonts w:hint="eastAsia" w:ascii="仿宋_GB2312" w:hAnsi="仿宋_GB2312" w:eastAsia="仿宋_GB2312" w:cs="仿宋_GB2312"/>
          <w:b w:val="0"/>
          <w:bCs w:val="0"/>
          <w:spacing w:val="7"/>
          <w:sz w:val="32"/>
          <w:szCs w:val="32"/>
          <w:lang w:val="en-US" w:eastAsia="zh-CN"/>
        </w:rPr>
        <w:t xml:space="preserve"> </w:t>
      </w:r>
      <w:r>
        <w:rPr>
          <w:rFonts w:hint="eastAsia" w:ascii="仿宋_GB2312" w:hAnsi="仿宋_GB2312" w:eastAsia="仿宋_GB2312" w:cs="仿宋_GB2312"/>
          <w:b w:val="0"/>
          <w:bCs w:val="0"/>
          <w:spacing w:val="7"/>
          <w:sz w:val="32"/>
          <w:szCs w:val="32"/>
        </w:rPr>
        <w:t>本办法所称备案主体，是指在杭州保护中心受</w:t>
      </w:r>
      <w:r>
        <w:rPr>
          <w:rFonts w:hint="eastAsia" w:ascii="仿宋_GB2312" w:hAnsi="仿宋_GB2312" w:eastAsia="仿宋_GB2312" w:cs="仿宋_GB2312"/>
          <w:b w:val="0"/>
          <w:bCs w:val="0"/>
          <w:spacing w:val="17"/>
          <w:sz w:val="32"/>
          <w:szCs w:val="32"/>
        </w:rPr>
        <w:t>理的产业范围内(以国家知识产权局发布为准)</w:t>
      </w:r>
      <w:r>
        <w:rPr>
          <w:rFonts w:hint="eastAsia" w:ascii="仿宋_GB2312" w:hAnsi="仿宋_GB2312" w:eastAsia="仿宋_GB2312" w:cs="仿宋_GB2312"/>
          <w:b w:val="0"/>
          <w:bCs w:val="0"/>
          <w:spacing w:val="17"/>
          <w:sz w:val="32"/>
          <w:szCs w:val="32"/>
          <w:lang w:eastAsia="zh-CN"/>
        </w:rPr>
        <w:t>，</w:t>
      </w:r>
      <w:r>
        <w:rPr>
          <w:rFonts w:hint="eastAsia" w:ascii="仿宋_GB2312" w:hAnsi="仿宋_GB2312" w:eastAsia="仿宋_GB2312" w:cs="仿宋_GB2312"/>
          <w:b w:val="0"/>
          <w:bCs w:val="0"/>
          <w:spacing w:val="17"/>
          <w:sz w:val="32"/>
          <w:szCs w:val="32"/>
        </w:rPr>
        <w:t>提出备案</w:t>
      </w:r>
      <w:r>
        <w:rPr>
          <w:rFonts w:hint="eastAsia" w:ascii="仿宋_GB2312" w:hAnsi="仿宋_GB2312" w:eastAsia="仿宋_GB2312" w:cs="仿宋_GB2312"/>
          <w:b w:val="0"/>
          <w:bCs w:val="0"/>
          <w:spacing w:val="-7"/>
          <w:sz w:val="32"/>
          <w:szCs w:val="32"/>
        </w:rPr>
        <w:t>申请并通过审核的企事业法人单位。</w:t>
      </w:r>
    </w:p>
    <w:p>
      <w:pPr>
        <w:pStyle w:val="2"/>
        <w:widowControl w:val="0"/>
        <w:kinsoku/>
        <w:spacing w:before="0" w:line="560" w:lineRule="exact"/>
        <w:ind w:left="0" w:right="0" w:firstLine="636"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1"/>
          <w:sz w:val="32"/>
          <w:szCs w:val="32"/>
        </w:rPr>
        <w:t>本办法所称的代理</w:t>
      </w:r>
      <w:r>
        <w:rPr>
          <w:rFonts w:hint="eastAsia" w:ascii="仿宋_GB2312" w:hAnsi="仿宋_GB2312" w:eastAsia="仿宋_GB2312" w:cs="仿宋_GB2312"/>
          <w:b w:val="0"/>
          <w:bCs w:val="0"/>
          <w:spacing w:val="-1"/>
          <w:sz w:val="32"/>
          <w:szCs w:val="32"/>
          <w:lang w:val="en-US" w:eastAsia="zh-CN"/>
        </w:rPr>
        <w:t>机构</w:t>
      </w:r>
      <w:r>
        <w:rPr>
          <w:rFonts w:hint="eastAsia" w:ascii="仿宋_GB2312" w:hAnsi="仿宋_GB2312" w:eastAsia="仿宋_GB2312" w:cs="仿宋_GB2312"/>
          <w:b w:val="0"/>
          <w:bCs w:val="0"/>
          <w:spacing w:val="-1"/>
          <w:sz w:val="32"/>
          <w:szCs w:val="32"/>
        </w:rPr>
        <w:t>，是指备案主体委托办理专利预审相关业务的专利代理机构。</w:t>
      </w:r>
    </w:p>
    <w:p>
      <w:pPr>
        <w:pStyle w:val="2"/>
        <w:widowControl w:val="0"/>
        <w:kinsoku/>
        <w:spacing w:before="0" w:line="560" w:lineRule="exact"/>
        <w:ind w:left="0" w:right="0" w:firstLine="632"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2"/>
          <w:sz w:val="32"/>
          <w:szCs w:val="32"/>
        </w:rPr>
        <w:t>本办法所称专利预审服务，是向国家知识产权局正式递交专利申请之前，由</w:t>
      </w:r>
      <w:r>
        <w:rPr>
          <w:rFonts w:hint="eastAsia" w:ascii="仿宋_GB2312" w:hAnsi="仿宋_GB2312" w:eastAsia="仿宋_GB2312" w:cs="仿宋_GB2312"/>
          <w:b w:val="0"/>
          <w:bCs w:val="0"/>
          <w:spacing w:val="-2"/>
          <w:sz w:val="32"/>
          <w:szCs w:val="32"/>
          <w:lang w:val="en-US" w:eastAsia="zh-CN"/>
        </w:rPr>
        <w:t>知识产权保护</w:t>
      </w:r>
      <w:r>
        <w:rPr>
          <w:rFonts w:hint="eastAsia" w:ascii="仿宋_GB2312" w:hAnsi="仿宋_GB2312" w:eastAsia="仿宋_GB2312" w:cs="仿宋_GB2312"/>
          <w:b w:val="0"/>
          <w:bCs w:val="0"/>
          <w:spacing w:val="-2"/>
          <w:sz w:val="32"/>
          <w:szCs w:val="32"/>
        </w:rPr>
        <w:t>中心对备案主体提交的预审申请提供的预先审查服务，符合高质量专利申请条件的可进入国家知识产权局快速审查通道</w:t>
      </w:r>
      <w:r>
        <w:rPr>
          <w:rFonts w:hint="eastAsia" w:ascii="仿宋_GB2312" w:hAnsi="仿宋_GB2312" w:eastAsia="仿宋_GB2312" w:cs="仿宋_GB2312"/>
          <w:b w:val="0"/>
          <w:bCs w:val="0"/>
          <w:spacing w:val="-4"/>
          <w:sz w:val="32"/>
          <w:szCs w:val="32"/>
        </w:rPr>
        <w:t>。</w:t>
      </w:r>
      <w:r>
        <w:rPr>
          <w:rFonts w:hint="eastAsia" w:ascii="仿宋_GB2312" w:hAnsi="仿宋_GB2312" w:eastAsia="仿宋_GB2312" w:cs="仿宋_GB2312"/>
          <w:b w:val="0"/>
          <w:bCs w:val="0"/>
          <w:spacing w:val="-4"/>
          <w:sz w:val="32"/>
          <w:szCs w:val="32"/>
          <w:lang w:val="en-US" w:eastAsia="zh-CN"/>
        </w:rPr>
        <w:t>专利申请预审服务不收取任何费用。</w:t>
      </w:r>
    </w:p>
    <w:p>
      <w:pPr>
        <w:pStyle w:val="2"/>
        <w:widowControl w:val="0"/>
        <w:kinsoku/>
        <w:spacing w:before="0" w:line="560" w:lineRule="exact"/>
        <w:ind w:left="0" w:right="0" w:firstLine="631"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pacing w:val="-3"/>
          <w:sz w:val="32"/>
          <w:szCs w:val="32"/>
        </w:rPr>
        <w:t>第四条</w:t>
      </w:r>
      <w:r>
        <w:rPr>
          <w:rFonts w:hint="eastAsia" w:ascii="仿宋_GB2312" w:hAnsi="仿宋_GB2312" w:eastAsia="仿宋_GB2312" w:cs="仿宋_GB2312"/>
          <w:b/>
          <w:bCs/>
          <w:spacing w:val="-3"/>
          <w:sz w:val="32"/>
          <w:szCs w:val="32"/>
          <w:lang w:val="en-US" w:eastAsia="zh-CN"/>
        </w:rPr>
        <w:t xml:space="preserve"> </w:t>
      </w:r>
      <w:r>
        <w:rPr>
          <w:rFonts w:hint="eastAsia" w:ascii="仿宋_GB2312" w:hAnsi="仿宋_GB2312" w:eastAsia="仿宋_GB2312" w:cs="仿宋_GB2312"/>
          <w:b w:val="0"/>
          <w:bCs w:val="0"/>
          <w:spacing w:val="-3"/>
          <w:sz w:val="32"/>
          <w:szCs w:val="32"/>
        </w:rPr>
        <w:t>对备案主体及代理主体提供的服务在相关法律</w:t>
      </w:r>
      <w:r>
        <w:rPr>
          <w:rFonts w:hint="eastAsia" w:ascii="仿宋_GB2312" w:hAnsi="仿宋_GB2312" w:eastAsia="仿宋_GB2312" w:cs="仿宋_GB2312"/>
          <w:b w:val="0"/>
          <w:bCs w:val="0"/>
          <w:spacing w:val="-11"/>
          <w:sz w:val="32"/>
          <w:szCs w:val="32"/>
        </w:rPr>
        <w:t>法规的基本框架下遵循“公平公益，主体自愿，优质高效，规范有序”的原则，</w:t>
      </w:r>
      <w:r>
        <w:rPr>
          <w:rFonts w:hint="eastAsia" w:ascii="仿宋_GB2312" w:hAnsi="仿宋_GB2312" w:eastAsia="仿宋_GB2312" w:cs="仿宋_GB2312"/>
          <w:b w:val="0"/>
          <w:bCs w:val="0"/>
          <w:spacing w:val="-11"/>
          <w:sz w:val="32"/>
          <w:szCs w:val="32"/>
          <w:lang w:val="en-US" w:eastAsia="zh-CN"/>
        </w:rPr>
        <w:t>申请预审服务的备案主体和代理主体，须承诺配合保护中心预审服务工作的开展，遵守《杭州市知识产权保护中心申请预审服务承诺书》和《杭州市知识产权保护中心专利预审服务须知》，遵守各级知识产权主管部门的规范性要求。</w:t>
      </w:r>
    </w:p>
    <w:p>
      <w:pPr>
        <w:pStyle w:val="2"/>
        <w:widowControl w:val="0"/>
        <w:kinsoku/>
        <w:spacing w:before="0" w:line="560" w:lineRule="exact"/>
        <w:ind w:left="0" w:right="0" w:firstLine="0" w:firstLineChars="0"/>
        <w:jc w:val="center"/>
        <w:rPr>
          <w:rFonts w:ascii="黑体" w:hAnsi="黑体" w:eastAsia="黑体" w:cs="黑体"/>
          <w:b w:val="0"/>
          <w:bCs w:val="0"/>
          <w:spacing w:val="3"/>
          <w:sz w:val="33"/>
          <w:szCs w:val="33"/>
        </w:rPr>
      </w:pPr>
    </w:p>
    <w:p>
      <w:pPr>
        <w:pStyle w:val="2"/>
        <w:widowControl w:val="0"/>
        <w:kinsoku/>
        <w:spacing w:before="0" w:line="560" w:lineRule="exact"/>
        <w:ind w:left="0" w:right="0" w:firstLine="0" w:firstLineChars="0"/>
        <w:jc w:val="center"/>
        <w:rPr>
          <w:rFonts w:ascii="黑体" w:hAnsi="黑体" w:eastAsia="黑体" w:cs="黑体"/>
          <w:b w:val="0"/>
          <w:bCs w:val="0"/>
          <w:spacing w:val="3"/>
          <w:sz w:val="33"/>
          <w:szCs w:val="33"/>
        </w:rPr>
      </w:pPr>
      <w:r>
        <w:rPr>
          <w:rFonts w:ascii="黑体" w:hAnsi="黑体" w:eastAsia="黑体" w:cs="黑体"/>
          <w:b w:val="0"/>
          <w:bCs w:val="0"/>
          <w:spacing w:val="3"/>
          <w:sz w:val="33"/>
          <w:szCs w:val="33"/>
        </w:rPr>
        <w:t>第二章备案申请管理</w:t>
      </w:r>
    </w:p>
    <w:p>
      <w:pPr>
        <w:pStyle w:val="2"/>
        <w:widowControl w:val="0"/>
        <w:kinsoku/>
        <w:spacing w:before="0" w:line="560" w:lineRule="exact"/>
        <w:ind w:left="0" w:right="0" w:firstLine="591"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pacing w:val="-13"/>
          <w:sz w:val="32"/>
          <w:szCs w:val="32"/>
        </w:rPr>
        <w:t>第五条</w:t>
      </w:r>
      <w:r>
        <w:rPr>
          <w:rFonts w:hint="eastAsia" w:ascii="仿宋_GB2312" w:hAnsi="仿宋_GB2312" w:eastAsia="仿宋_GB2312" w:cs="仿宋_GB2312"/>
          <w:b w:val="0"/>
          <w:bCs w:val="0"/>
          <w:spacing w:val="-13"/>
          <w:sz w:val="32"/>
          <w:szCs w:val="32"/>
          <w:lang w:val="en-US" w:eastAsia="zh-CN"/>
        </w:rPr>
        <w:t xml:space="preserve"> </w:t>
      </w:r>
      <w:r>
        <w:rPr>
          <w:rFonts w:hint="eastAsia" w:ascii="仿宋_GB2312" w:hAnsi="仿宋_GB2312" w:eastAsia="仿宋_GB2312" w:cs="仿宋_GB2312"/>
          <w:b w:val="0"/>
          <w:bCs w:val="0"/>
          <w:spacing w:val="-13"/>
          <w:sz w:val="32"/>
          <w:szCs w:val="32"/>
        </w:rPr>
        <w:t>备案主体的申请基本条件：</w:t>
      </w:r>
    </w:p>
    <w:p>
      <w:pPr>
        <w:pStyle w:val="2"/>
        <w:widowControl w:val="0"/>
        <w:kinsoku/>
        <w:spacing w:before="0" w:line="560" w:lineRule="exact"/>
        <w:ind w:left="0" w:right="0" w:firstLine="628"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3"/>
          <w:sz w:val="32"/>
          <w:szCs w:val="32"/>
        </w:rPr>
        <w:t>(一)登记注册地在杭州市行政区域，且具有独立法人</w:t>
      </w:r>
      <w:r>
        <w:rPr>
          <w:rFonts w:hint="eastAsia" w:ascii="仿宋_GB2312" w:hAnsi="仿宋_GB2312" w:eastAsia="仿宋_GB2312" w:cs="仿宋_GB2312"/>
          <w:b w:val="0"/>
          <w:bCs w:val="0"/>
          <w:spacing w:val="-15"/>
          <w:sz w:val="32"/>
          <w:szCs w:val="32"/>
        </w:rPr>
        <w:t>或经营主体资格的企业、事业单位等；</w:t>
      </w:r>
    </w:p>
    <w:p>
      <w:pPr>
        <w:pStyle w:val="2"/>
        <w:widowControl w:val="0"/>
        <w:kinsoku/>
        <w:spacing w:before="0" w:line="560" w:lineRule="exact"/>
        <w:ind w:left="0" w:right="0" w:firstLine="628"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3"/>
          <w:sz w:val="32"/>
          <w:szCs w:val="32"/>
        </w:rPr>
        <w:t>(二)生产、研发或经营方向应属于杭州市政府支</w:t>
      </w:r>
      <w:r>
        <w:rPr>
          <w:rFonts w:hint="eastAsia" w:ascii="仿宋_GB2312" w:hAnsi="仿宋_GB2312" w:eastAsia="仿宋_GB2312" w:cs="仿宋_GB2312"/>
          <w:b w:val="0"/>
          <w:bCs w:val="0"/>
          <w:spacing w:val="-13"/>
          <w:sz w:val="32"/>
          <w:szCs w:val="32"/>
        </w:rPr>
        <w:t>持产业的相关领域，并具有较强的自主研发能力</w:t>
      </w:r>
      <w:r>
        <w:rPr>
          <w:rFonts w:hint="eastAsia" w:ascii="仿宋_GB2312" w:hAnsi="仿宋_GB2312" w:eastAsia="仿宋_GB2312" w:cs="仿宋_GB2312"/>
          <w:b w:val="0"/>
          <w:bCs w:val="0"/>
          <w:spacing w:val="-13"/>
          <w:sz w:val="32"/>
          <w:szCs w:val="32"/>
          <w:lang w:eastAsia="zh-CN"/>
        </w:rPr>
        <w:t>（</w:t>
      </w:r>
      <w:r>
        <w:rPr>
          <w:rFonts w:hint="eastAsia" w:ascii="仿宋_GB2312" w:hAnsi="仿宋_GB2312" w:eastAsia="仿宋_GB2312" w:cs="仿宋_GB2312"/>
          <w:b w:val="0"/>
          <w:bCs w:val="0"/>
          <w:spacing w:val="-13"/>
          <w:sz w:val="32"/>
          <w:szCs w:val="32"/>
          <w:lang w:val="en-US" w:eastAsia="zh-CN"/>
        </w:rPr>
        <w:t>研发能力具体应包括稳定的研发投入及环境条件，劳务或合作关系清晰的研发团队等）</w:t>
      </w:r>
      <w:r>
        <w:rPr>
          <w:rFonts w:hint="eastAsia" w:ascii="仿宋_GB2312" w:hAnsi="仿宋_GB2312" w:eastAsia="仿宋_GB2312" w:cs="仿宋_GB2312"/>
          <w:b w:val="0"/>
          <w:bCs w:val="0"/>
          <w:spacing w:val="-13"/>
          <w:sz w:val="32"/>
          <w:szCs w:val="32"/>
        </w:rPr>
        <w:t>；</w:t>
      </w:r>
    </w:p>
    <w:p>
      <w:pPr>
        <w:pStyle w:val="2"/>
        <w:widowControl w:val="0"/>
        <w:kinsoku/>
        <w:spacing w:before="0" w:line="560" w:lineRule="exact"/>
        <w:ind w:left="0" w:right="0" w:firstLine="628"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3"/>
          <w:sz w:val="32"/>
          <w:szCs w:val="32"/>
        </w:rPr>
        <w:t>(三)具有</w:t>
      </w:r>
      <w:r>
        <w:rPr>
          <w:rFonts w:hint="eastAsia" w:ascii="仿宋_GB2312" w:hAnsi="仿宋_GB2312" w:eastAsia="仿宋_GB2312" w:cs="仿宋_GB2312"/>
          <w:b w:val="0"/>
          <w:bCs w:val="0"/>
          <w:spacing w:val="-3"/>
          <w:sz w:val="32"/>
          <w:szCs w:val="32"/>
          <w:lang w:val="en-US" w:eastAsia="zh-CN"/>
        </w:rPr>
        <w:t>必要</w:t>
      </w:r>
      <w:r>
        <w:rPr>
          <w:rFonts w:hint="eastAsia" w:ascii="仿宋_GB2312" w:hAnsi="仿宋_GB2312" w:eastAsia="仿宋_GB2312" w:cs="仿宋_GB2312"/>
          <w:b w:val="0"/>
          <w:bCs w:val="0"/>
          <w:spacing w:val="-3"/>
          <w:sz w:val="32"/>
          <w:szCs w:val="32"/>
        </w:rPr>
        <w:t>的知识产权工作基础，</w:t>
      </w:r>
      <w:r>
        <w:rPr>
          <w:rFonts w:hint="eastAsia" w:ascii="仿宋_GB2312" w:hAnsi="仿宋_GB2312" w:eastAsia="仿宋_GB2312" w:cs="仿宋_GB2312"/>
          <w:b w:val="0"/>
          <w:bCs w:val="0"/>
          <w:spacing w:val="-14"/>
          <w:sz w:val="32"/>
          <w:szCs w:val="32"/>
        </w:rPr>
        <w:t>建立规范的知识产权管理制度</w:t>
      </w:r>
      <w:r>
        <w:rPr>
          <w:rFonts w:hint="eastAsia" w:ascii="仿宋_GB2312" w:hAnsi="仿宋_GB2312" w:eastAsia="仿宋_GB2312" w:cs="仿宋_GB2312"/>
          <w:b w:val="0"/>
          <w:bCs w:val="0"/>
          <w:spacing w:val="-14"/>
          <w:sz w:val="32"/>
          <w:szCs w:val="32"/>
          <w:lang w:eastAsia="zh-CN"/>
        </w:rPr>
        <w:t>，</w:t>
      </w:r>
      <w:r>
        <w:rPr>
          <w:rFonts w:hint="eastAsia" w:ascii="仿宋_GB2312" w:hAnsi="仿宋_GB2312" w:eastAsia="仿宋_GB2312" w:cs="仿宋_GB2312"/>
          <w:b w:val="0"/>
          <w:bCs w:val="0"/>
          <w:spacing w:val="-14"/>
          <w:sz w:val="32"/>
          <w:szCs w:val="32"/>
          <w:lang w:val="en-US" w:eastAsia="zh-CN"/>
        </w:rPr>
        <w:t>已经有授权发明专利的申请主体优先备案</w:t>
      </w:r>
      <w:r>
        <w:rPr>
          <w:rFonts w:hint="eastAsia" w:ascii="仿宋_GB2312" w:hAnsi="仿宋_GB2312" w:eastAsia="仿宋_GB2312" w:cs="仿宋_GB2312"/>
          <w:b w:val="0"/>
          <w:bCs w:val="0"/>
          <w:spacing w:val="-14"/>
          <w:sz w:val="32"/>
          <w:szCs w:val="32"/>
        </w:rPr>
        <w:t>；</w:t>
      </w:r>
    </w:p>
    <w:p>
      <w:pPr>
        <w:pStyle w:val="2"/>
        <w:keepNext w:val="0"/>
        <w:keepLines w:val="0"/>
        <w:pageBreakBefore w:val="0"/>
        <w:widowControl w:val="0"/>
        <w:kinsoku/>
        <w:wordWrap/>
        <w:overflowPunct/>
        <w:topLinePunct w:val="0"/>
        <w:autoSpaceDE w:val="0"/>
        <w:autoSpaceDN w:val="0"/>
        <w:bidi w:val="0"/>
        <w:adjustRightInd w:val="0"/>
        <w:snapToGrid w:val="0"/>
        <w:spacing w:line="560" w:lineRule="exact"/>
        <w:ind w:right="0" w:firstLine="628" w:firstLineChars="200"/>
        <w:jc w:val="both"/>
        <w:textAlignment w:val="baseline"/>
        <w:rPr>
          <w:rFonts w:hint="eastAsia" w:ascii="仿宋_GB2312" w:hAnsi="仿宋_GB2312" w:eastAsia="仿宋_GB2312" w:cs="仿宋_GB2312"/>
          <w:b w:val="0"/>
          <w:bCs w:val="0"/>
          <w:spacing w:val="-22"/>
          <w:sz w:val="32"/>
          <w:szCs w:val="32"/>
        </w:rPr>
      </w:pPr>
      <w:r>
        <w:rPr>
          <w:rFonts w:hint="eastAsia" w:ascii="仿宋_GB2312" w:hAnsi="仿宋_GB2312" w:eastAsia="仿宋_GB2312" w:cs="仿宋_GB2312"/>
          <w:b w:val="0"/>
          <w:bCs w:val="0"/>
          <w:spacing w:val="-3"/>
          <w:sz w:val="32"/>
          <w:szCs w:val="32"/>
        </w:rPr>
        <w:t>(四)无</w:t>
      </w:r>
      <w:r>
        <w:rPr>
          <w:rFonts w:hint="eastAsia" w:ascii="仿宋_GB2312" w:hAnsi="仿宋_GB2312" w:eastAsia="仿宋_GB2312" w:cs="仿宋_GB2312"/>
          <w:b w:val="0"/>
          <w:bCs w:val="0"/>
          <w:spacing w:val="-3"/>
          <w:sz w:val="32"/>
          <w:szCs w:val="32"/>
          <w:lang w:val="en-US" w:eastAsia="zh-CN"/>
        </w:rPr>
        <w:t>未结案的</w:t>
      </w:r>
      <w:r>
        <w:rPr>
          <w:rFonts w:hint="eastAsia" w:ascii="仿宋_GB2312" w:hAnsi="仿宋_GB2312" w:eastAsia="仿宋_GB2312" w:cs="仿宋_GB2312"/>
          <w:b w:val="0"/>
          <w:bCs w:val="0"/>
          <w:spacing w:val="-3"/>
          <w:sz w:val="32"/>
          <w:szCs w:val="32"/>
        </w:rPr>
        <w:t>非正常专利申请、故意侵犯他人知识产权等不</w:t>
      </w:r>
      <w:r>
        <w:rPr>
          <w:rFonts w:hint="eastAsia" w:ascii="仿宋_GB2312" w:hAnsi="仿宋_GB2312" w:eastAsia="仿宋_GB2312" w:cs="仿宋_GB2312"/>
          <w:b w:val="0"/>
          <w:bCs w:val="0"/>
          <w:spacing w:val="-22"/>
          <w:sz w:val="32"/>
          <w:szCs w:val="32"/>
        </w:rPr>
        <w:t>良记录</w:t>
      </w:r>
      <w:r>
        <w:rPr>
          <w:rFonts w:hint="eastAsia" w:ascii="仿宋_GB2312" w:hAnsi="仿宋_GB2312" w:eastAsia="仿宋_GB2312" w:cs="仿宋_GB2312"/>
          <w:b w:val="0"/>
          <w:bCs w:val="0"/>
          <w:spacing w:val="-22"/>
          <w:sz w:val="32"/>
          <w:szCs w:val="32"/>
          <w:lang w:eastAsia="zh-CN"/>
        </w:rPr>
        <w:t>，</w:t>
      </w:r>
      <w:r>
        <w:rPr>
          <w:rFonts w:hint="eastAsia" w:ascii="仿宋_GB2312" w:hAnsi="仿宋_GB2312" w:eastAsia="仿宋_GB2312" w:cs="仿宋_GB2312"/>
          <w:b w:val="0"/>
          <w:bCs w:val="0"/>
          <w:spacing w:val="-22"/>
          <w:sz w:val="32"/>
          <w:szCs w:val="32"/>
          <w:lang w:val="en-US" w:eastAsia="zh-CN"/>
        </w:rPr>
        <w:t>信用基础良好</w:t>
      </w:r>
      <w:r>
        <w:rPr>
          <w:rFonts w:hint="eastAsia" w:ascii="仿宋_GB2312" w:hAnsi="仿宋_GB2312" w:eastAsia="仿宋_GB2312" w:cs="仿宋_GB2312"/>
          <w:b w:val="0"/>
          <w:bCs w:val="0"/>
          <w:spacing w:val="-22"/>
          <w:sz w:val="32"/>
          <w:szCs w:val="32"/>
        </w:rPr>
        <w:t>；</w:t>
      </w:r>
    </w:p>
    <w:p>
      <w:pPr>
        <w:pStyle w:val="2"/>
        <w:keepNext w:val="0"/>
        <w:keepLines w:val="0"/>
        <w:pageBreakBefore w:val="0"/>
        <w:widowControl w:val="0"/>
        <w:kinsoku/>
        <w:wordWrap/>
        <w:overflowPunct/>
        <w:topLinePunct w:val="0"/>
        <w:autoSpaceDE w:val="0"/>
        <w:autoSpaceDN w:val="0"/>
        <w:bidi w:val="0"/>
        <w:adjustRightInd w:val="0"/>
        <w:snapToGrid w:val="0"/>
        <w:spacing w:line="560" w:lineRule="exact"/>
        <w:ind w:right="0" w:firstLine="552" w:firstLineChars="200"/>
        <w:jc w:val="both"/>
        <w:textAlignment w:val="baseline"/>
        <w:rPr>
          <w:rFonts w:hint="eastAsia" w:ascii="仿宋_GB2312" w:hAnsi="仿宋_GB2312" w:eastAsia="仿宋_GB2312" w:cs="仿宋_GB2312"/>
          <w:b w:val="0"/>
          <w:bCs w:val="0"/>
          <w:spacing w:val="-22"/>
          <w:sz w:val="32"/>
          <w:szCs w:val="32"/>
        </w:rPr>
      </w:pPr>
      <w:r>
        <w:rPr>
          <w:rFonts w:hint="eastAsia" w:ascii="仿宋_GB2312" w:hAnsi="仿宋_GB2312" w:eastAsia="仿宋_GB2312" w:cs="仿宋_GB2312"/>
          <w:b w:val="0"/>
          <w:bCs w:val="0"/>
          <w:spacing w:val="-22"/>
          <w:sz w:val="32"/>
          <w:szCs w:val="32"/>
        </w:rPr>
        <w:t>（五）国家知识产权局或省</w:t>
      </w:r>
      <w:r>
        <w:rPr>
          <w:rFonts w:hint="eastAsia" w:ascii="仿宋_GB2312" w:hAnsi="仿宋_GB2312" w:eastAsia="仿宋_GB2312" w:cs="仿宋_GB2312"/>
          <w:b w:val="0"/>
          <w:bCs w:val="0"/>
          <w:spacing w:val="-22"/>
          <w:sz w:val="32"/>
          <w:szCs w:val="32"/>
          <w:lang w:eastAsia="zh-CN"/>
        </w:rPr>
        <w:t>、</w:t>
      </w:r>
      <w:r>
        <w:rPr>
          <w:rFonts w:hint="eastAsia" w:ascii="仿宋_GB2312" w:hAnsi="仿宋_GB2312" w:eastAsia="仿宋_GB2312" w:cs="仿宋_GB2312"/>
          <w:b w:val="0"/>
          <w:bCs w:val="0"/>
          <w:spacing w:val="-22"/>
          <w:sz w:val="32"/>
          <w:szCs w:val="32"/>
          <w:lang w:val="en-US" w:eastAsia="zh-CN"/>
        </w:rPr>
        <w:t>市</w:t>
      </w:r>
      <w:r>
        <w:rPr>
          <w:rFonts w:hint="eastAsia" w:ascii="仿宋_GB2312" w:hAnsi="仿宋_GB2312" w:eastAsia="仿宋_GB2312" w:cs="仿宋_GB2312"/>
          <w:b w:val="0"/>
          <w:bCs w:val="0"/>
          <w:spacing w:val="-22"/>
          <w:sz w:val="32"/>
          <w:szCs w:val="32"/>
        </w:rPr>
        <w:t>市场监督管理局（知识产权局）对备案另有要求的，按上级规定执行。</w:t>
      </w:r>
    </w:p>
    <w:p>
      <w:pPr>
        <w:pStyle w:val="2"/>
        <w:widowControl w:val="0"/>
        <w:kinsoku/>
        <w:spacing w:before="0" w:line="560" w:lineRule="exact"/>
        <w:ind w:left="0" w:firstLine="587"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pacing w:val="-14"/>
          <w:sz w:val="32"/>
          <w:szCs w:val="32"/>
        </w:rPr>
        <w:t>第六条</w:t>
      </w:r>
      <w:r>
        <w:rPr>
          <w:rFonts w:hint="eastAsia" w:ascii="仿宋_GB2312" w:hAnsi="仿宋_GB2312" w:eastAsia="仿宋_GB2312" w:cs="仿宋_GB2312"/>
          <w:b/>
          <w:bCs/>
          <w:spacing w:val="-14"/>
          <w:sz w:val="32"/>
          <w:szCs w:val="32"/>
          <w:lang w:val="en-US" w:eastAsia="zh-CN"/>
        </w:rPr>
        <w:t xml:space="preserve"> </w:t>
      </w:r>
      <w:r>
        <w:rPr>
          <w:rFonts w:hint="eastAsia" w:ascii="仿宋_GB2312" w:hAnsi="仿宋_GB2312" w:eastAsia="仿宋_GB2312" w:cs="仿宋_GB2312"/>
          <w:b w:val="0"/>
          <w:bCs w:val="0"/>
          <w:spacing w:val="-14"/>
          <w:sz w:val="32"/>
          <w:szCs w:val="32"/>
        </w:rPr>
        <w:t>申请成为备案主体应提供下列材料：</w:t>
      </w:r>
    </w:p>
    <w:p>
      <w:pPr>
        <w:pStyle w:val="2"/>
        <w:widowControl w:val="0"/>
        <w:kinsoku/>
        <w:spacing w:before="0" w:line="560" w:lineRule="exact"/>
        <w:ind w:left="0" w:right="0" w:firstLine="628"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3"/>
          <w:sz w:val="32"/>
          <w:szCs w:val="32"/>
        </w:rPr>
        <w:t>(一)杭州市知识产权保护中心专利快速审查确权备案</w:t>
      </w:r>
      <w:r>
        <w:rPr>
          <w:rFonts w:hint="eastAsia" w:ascii="仿宋_GB2312" w:hAnsi="仿宋_GB2312" w:eastAsia="仿宋_GB2312" w:cs="仿宋_GB2312"/>
          <w:b w:val="0"/>
          <w:bCs w:val="0"/>
          <w:spacing w:val="-8"/>
          <w:sz w:val="32"/>
          <w:szCs w:val="32"/>
        </w:rPr>
        <w:t>申请表(试行);</w:t>
      </w:r>
    </w:p>
    <w:p>
      <w:pPr>
        <w:pStyle w:val="2"/>
        <w:widowControl w:val="0"/>
        <w:kinsoku/>
        <w:spacing w:before="0" w:line="560" w:lineRule="exact"/>
        <w:ind w:left="0" w:right="0" w:firstLine="656"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4"/>
          <w:sz w:val="32"/>
          <w:szCs w:val="32"/>
        </w:rPr>
        <w:t>(二)企业营业执照复印件或事业法人证书复印件(加</w:t>
      </w:r>
      <w:r>
        <w:rPr>
          <w:rFonts w:hint="eastAsia" w:ascii="仿宋_GB2312" w:hAnsi="仿宋_GB2312" w:eastAsia="仿宋_GB2312" w:cs="仿宋_GB2312"/>
          <w:b w:val="0"/>
          <w:bCs w:val="0"/>
          <w:spacing w:val="-6"/>
          <w:sz w:val="32"/>
          <w:szCs w:val="32"/>
        </w:rPr>
        <w:t>盖公章);</w:t>
      </w:r>
    </w:p>
    <w:p>
      <w:pPr>
        <w:pStyle w:val="2"/>
        <w:widowControl w:val="0"/>
        <w:kinsoku/>
        <w:spacing w:before="0" w:line="560" w:lineRule="exact"/>
        <w:ind w:left="0" w:right="0" w:firstLine="628" w:firstLineChars="200"/>
        <w:jc w:val="both"/>
        <w:rPr>
          <w:rFonts w:hint="eastAsia" w:ascii="仿宋_GB2312" w:hAnsi="仿宋_GB2312" w:eastAsia="仿宋_GB2312" w:cs="仿宋_GB2312"/>
          <w:b w:val="0"/>
          <w:bCs w:val="0"/>
          <w:spacing w:val="-1"/>
          <w:sz w:val="32"/>
          <w:szCs w:val="32"/>
        </w:rPr>
      </w:pPr>
      <w:r>
        <w:rPr>
          <w:rFonts w:hint="eastAsia" w:ascii="仿宋_GB2312" w:hAnsi="仿宋_GB2312" w:eastAsia="仿宋_GB2312" w:cs="仿宋_GB2312"/>
          <w:b w:val="0"/>
          <w:bCs w:val="0"/>
          <w:spacing w:val="-3"/>
          <w:sz w:val="32"/>
          <w:szCs w:val="32"/>
        </w:rPr>
        <w:t>(三)</w:t>
      </w:r>
      <w:r>
        <w:rPr>
          <w:rFonts w:hint="eastAsia" w:ascii="仿宋_GB2312" w:hAnsi="仿宋_GB2312" w:eastAsia="仿宋_GB2312" w:cs="仿宋_GB2312"/>
          <w:b w:val="0"/>
          <w:bCs w:val="0"/>
          <w:spacing w:val="-3"/>
          <w:sz w:val="32"/>
          <w:szCs w:val="32"/>
          <w:lang w:val="en-US" w:eastAsia="zh-CN"/>
        </w:rPr>
        <w:t>根据本办法第五条第二款，对创新能力存疑的主体，在必要的</w:t>
      </w:r>
      <w:r>
        <w:rPr>
          <w:rFonts w:hint="eastAsia" w:ascii="仿宋_GB2312" w:hAnsi="仿宋_GB2312" w:eastAsia="仿宋_GB2312" w:cs="仿宋_GB2312"/>
          <w:b w:val="0"/>
          <w:bCs w:val="0"/>
          <w:spacing w:val="-3"/>
          <w:sz w:val="32"/>
          <w:szCs w:val="32"/>
        </w:rPr>
        <w:t>核实确认过程中，杭州保护</w:t>
      </w:r>
      <w:r>
        <w:rPr>
          <w:rFonts w:hint="eastAsia" w:ascii="仿宋_GB2312" w:hAnsi="仿宋_GB2312" w:eastAsia="仿宋_GB2312" w:cs="仿宋_GB2312"/>
          <w:b w:val="0"/>
          <w:bCs w:val="0"/>
          <w:spacing w:val="-1"/>
          <w:sz w:val="32"/>
          <w:szCs w:val="32"/>
        </w:rPr>
        <w:t>中心要求提供的其他证明材料，包括但不限于：社保</w:t>
      </w:r>
      <w:r>
        <w:rPr>
          <w:rFonts w:hint="eastAsia" w:ascii="仿宋_GB2312" w:hAnsi="仿宋_GB2312" w:eastAsia="仿宋_GB2312" w:cs="仿宋_GB2312"/>
          <w:b w:val="0"/>
          <w:bCs w:val="0"/>
          <w:spacing w:val="-1"/>
          <w:sz w:val="32"/>
          <w:szCs w:val="32"/>
          <w:lang w:val="en-US" w:eastAsia="zh-CN"/>
        </w:rPr>
        <w:t>缴纳</w:t>
      </w:r>
      <w:r>
        <w:rPr>
          <w:rFonts w:hint="eastAsia" w:ascii="仿宋_GB2312" w:hAnsi="仿宋_GB2312" w:eastAsia="仿宋_GB2312" w:cs="仿宋_GB2312"/>
          <w:b w:val="0"/>
          <w:bCs w:val="0"/>
          <w:spacing w:val="-1"/>
          <w:sz w:val="32"/>
          <w:szCs w:val="32"/>
        </w:rPr>
        <w:t>、研发投入、研发设备、研发场所等证明材料，或重大项目、人才引进等特殊情况说明材料</w:t>
      </w:r>
      <w:r>
        <w:rPr>
          <w:rFonts w:hint="eastAsia" w:ascii="仿宋_GB2312" w:hAnsi="仿宋_GB2312" w:eastAsia="仿宋_GB2312" w:cs="仿宋_GB2312"/>
          <w:b w:val="0"/>
          <w:bCs w:val="0"/>
          <w:spacing w:val="-1"/>
          <w:sz w:val="32"/>
          <w:szCs w:val="32"/>
          <w:lang w:eastAsia="zh-CN"/>
        </w:rPr>
        <w:t>。</w:t>
      </w:r>
    </w:p>
    <w:p>
      <w:pPr>
        <w:pStyle w:val="2"/>
        <w:widowControl w:val="0"/>
        <w:kinsoku/>
        <w:spacing w:before="0" w:line="560" w:lineRule="exact"/>
        <w:ind w:left="0" w:right="0" w:firstLine="636"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1"/>
          <w:sz w:val="32"/>
          <w:szCs w:val="32"/>
        </w:rPr>
        <w:t>所有备案材料均为在线填写和提交，备案主体递交备案材料后，由杭州保护中心对备案材料进行初步</w:t>
      </w:r>
      <w:r>
        <w:rPr>
          <w:rFonts w:hint="eastAsia" w:ascii="仿宋_GB2312" w:hAnsi="仿宋_GB2312" w:eastAsia="仿宋_GB2312" w:cs="仿宋_GB2312"/>
          <w:b w:val="0"/>
          <w:bCs w:val="0"/>
          <w:spacing w:val="-1"/>
          <w:sz w:val="32"/>
          <w:szCs w:val="32"/>
          <w:lang w:val="en-US" w:eastAsia="zh-CN"/>
        </w:rPr>
        <w:t>完整性</w:t>
      </w:r>
      <w:r>
        <w:rPr>
          <w:rFonts w:hint="eastAsia" w:ascii="仿宋_GB2312" w:hAnsi="仿宋_GB2312" w:eastAsia="仿宋_GB2312" w:cs="仿宋_GB2312"/>
          <w:b w:val="0"/>
          <w:bCs w:val="0"/>
          <w:spacing w:val="-1"/>
          <w:sz w:val="32"/>
          <w:szCs w:val="32"/>
        </w:rPr>
        <w:t>审核，并报国</w:t>
      </w:r>
      <w:r>
        <w:rPr>
          <w:rFonts w:hint="eastAsia" w:ascii="仿宋_GB2312" w:hAnsi="仿宋_GB2312" w:eastAsia="仿宋_GB2312" w:cs="仿宋_GB2312"/>
          <w:b w:val="0"/>
          <w:bCs w:val="0"/>
          <w:spacing w:val="-8"/>
          <w:sz w:val="32"/>
          <w:szCs w:val="32"/>
        </w:rPr>
        <w:t>家知识产权局核准备案。</w:t>
      </w:r>
    </w:p>
    <w:p>
      <w:pPr>
        <w:pStyle w:val="2"/>
        <w:widowControl w:val="0"/>
        <w:kinsoku/>
        <w:spacing w:before="0" w:line="560" w:lineRule="exact"/>
        <w:ind w:left="0" w:firstLine="623" w:firstLineChars="200"/>
        <w:jc w:val="both"/>
        <w:rPr>
          <w:rFonts w:hint="eastAsia" w:ascii="仿宋_GB2312" w:hAnsi="仿宋_GB2312" w:eastAsia="仿宋_GB2312" w:cs="仿宋_GB2312"/>
          <w:b w:val="0"/>
          <w:bCs w:val="0"/>
          <w:spacing w:val="-5"/>
          <w:sz w:val="32"/>
          <w:szCs w:val="32"/>
          <w:lang w:val="en-US" w:eastAsia="zh-CN"/>
        </w:rPr>
      </w:pPr>
      <w:r>
        <w:rPr>
          <w:rFonts w:hint="eastAsia" w:ascii="仿宋_GB2312" w:hAnsi="仿宋_GB2312" w:eastAsia="仿宋_GB2312" w:cs="仿宋_GB2312"/>
          <w:b/>
          <w:bCs/>
          <w:spacing w:val="-5"/>
          <w:sz w:val="32"/>
          <w:szCs w:val="32"/>
        </w:rPr>
        <w:t>第七条</w:t>
      </w:r>
      <w:r>
        <w:rPr>
          <w:rFonts w:hint="eastAsia" w:ascii="仿宋_GB2312" w:hAnsi="仿宋_GB2312" w:eastAsia="仿宋_GB2312" w:cs="仿宋_GB2312"/>
          <w:b w:val="0"/>
          <w:bCs w:val="0"/>
          <w:spacing w:val="-5"/>
          <w:sz w:val="32"/>
          <w:szCs w:val="32"/>
          <w:lang w:val="en-US" w:eastAsia="zh-CN"/>
        </w:rPr>
        <w:t xml:space="preserve"> 备案主体可以委托专利代理机构办理预审相关业务。接受委托的专利代理机构应向杭州保护中心登记，且被列入中华全国专利代理师协会公布的“专利代理机构精准服务保障名单”。</w:t>
      </w:r>
    </w:p>
    <w:p>
      <w:pPr>
        <w:pStyle w:val="2"/>
        <w:widowControl w:val="0"/>
        <w:kinsoku/>
        <w:spacing w:before="0" w:line="560" w:lineRule="exact"/>
        <w:ind w:left="0" w:firstLine="620" w:firstLineChars="200"/>
        <w:jc w:val="both"/>
        <w:rPr>
          <w:rFonts w:hint="eastAsia" w:ascii="仿宋_GB2312" w:hAnsi="仿宋_GB2312" w:eastAsia="仿宋_GB2312" w:cs="仿宋_GB2312"/>
          <w:b w:val="0"/>
          <w:bCs w:val="0"/>
          <w:spacing w:val="-5"/>
          <w:sz w:val="32"/>
          <w:szCs w:val="32"/>
          <w:lang w:val="en-US" w:eastAsia="zh-CN"/>
        </w:rPr>
      </w:pPr>
      <w:r>
        <w:rPr>
          <w:rFonts w:hint="eastAsia" w:ascii="仿宋_GB2312" w:hAnsi="仿宋_GB2312" w:eastAsia="仿宋_GB2312" w:cs="仿宋_GB2312"/>
          <w:b w:val="0"/>
          <w:bCs w:val="0"/>
          <w:spacing w:val="-5"/>
          <w:sz w:val="32"/>
          <w:szCs w:val="32"/>
          <w:lang w:val="en-US" w:eastAsia="zh-CN"/>
        </w:rPr>
        <w:t>自本办法施行之日起，不再接受“专利代理机构精准服务保障名单”之外的代理机构提交的预审案件。</w:t>
      </w:r>
    </w:p>
    <w:p>
      <w:pPr>
        <w:pStyle w:val="2"/>
        <w:widowControl w:val="0"/>
        <w:kinsoku/>
        <w:spacing w:before="0" w:line="560" w:lineRule="exact"/>
        <w:ind w:left="0" w:firstLine="635"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pacing w:val="-2"/>
          <w:sz w:val="32"/>
          <w:szCs w:val="32"/>
        </w:rPr>
        <w:t>第八条</w:t>
      </w:r>
      <w:r>
        <w:rPr>
          <w:rFonts w:hint="eastAsia" w:ascii="仿宋_GB2312" w:hAnsi="仿宋_GB2312" w:eastAsia="仿宋_GB2312" w:cs="仿宋_GB2312"/>
          <w:b w:val="0"/>
          <w:bCs w:val="0"/>
          <w:spacing w:val="-2"/>
          <w:sz w:val="32"/>
          <w:szCs w:val="32"/>
          <w:lang w:val="en-US" w:eastAsia="zh-CN"/>
        </w:rPr>
        <w:t xml:space="preserve"> </w:t>
      </w:r>
      <w:r>
        <w:rPr>
          <w:rFonts w:hint="eastAsia" w:ascii="仿宋_GB2312" w:hAnsi="仿宋_GB2312" w:eastAsia="仿宋_GB2312" w:cs="仿宋_GB2312"/>
          <w:b w:val="0"/>
          <w:bCs w:val="0"/>
          <w:spacing w:val="-2"/>
          <w:sz w:val="32"/>
          <w:szCs w:val="32"/>
        </w:rPr>
        <w:t>代理主体登记联系信息时提供下列材料：</w:t>
      </w:r>
    </w:p>
    <w:p>
      <w:pPr>
        <w:pStyle w:val="2"/>
        <w:widowControl w:val="0"/>
        <w:kinsoku/>
        <w:spacing w:before="0" w:line="560" w:lineRule="exact"/>
        <w:ind w:left="0" w:right="0" w:firstLine="664"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6"/>
          <w:sz w:val="32"/>
          <w:szCs w:val="32"/>
        </w:rPr>
        <w:t>(一)杭州市知识产权保护中心专利代理机构联系信息</w:t>
      </w:r>
      <w:r>
        <w:rPr>
          <w:rFonts w:hint="eastAsia" w:ascii="仿宋_GB2312" w:hAnsi="仿宋_GB2312" w:eastAsia="仿宋_GB2312" w:cs="仿宋_GB2312"/>
          <w:b w:val="0"/>
          <w:bCs w:val="0"/>
          <w:spacing w:val="-4"/>
          <w:sz w:val="32"/>
          <w:szCs w:val="32"/>
        </w:rPr>
        <w:t>登记表(试行);</w:t>
      </w:r>
    </w:p>
    <w:p>
      <w:pPr>
        <w:pStyle w:val="2"/>
        <w:widowControl w:val="0"/>
        <w:kinsoku/>
        <w:spacing w:before="0" w:line="560" w:lineRule="exact"/>
        <w:ind w:left="0" w:right="0" w:firstLine="664"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6"/>
          <w:sz w:val="32"/>
          <w:szCs w:val="32"/>
        </w:rPr>
        <w:t>(二)代理机构营业执照复印件(加盖公章)或律师</w:t>
      </w:r>
      <w:r>
        <w:rPr>
          <w:rFonts w:hint="eastAsia" w:ascii="仿宋_GB2312" w:hAnsi="仿宋_GB2312" w:eastAsia="仿宋_GB2312" w:cs="仿宋_GB2312"/>
          <w:b w:val="0"/>
          <w:bCs w:val="0"/>
          <w:spacing w:val="5"/>
          <w:sz w:val="32"/>
          <w:szCs w:val="32"/>
        </w:rPr>
        <w:t>事务</w:t>
      </w:r>
      <w:r>
        <w:rPr>
          <w:rFonts w:hint="eastAsia" w:ascii="仿宋_GB2312" w:hAnsi="仿宋_GB2312" w:eastAsia="仿宋_GB2312" w:cs="仿宋_GB2312"/>
          <w:b w:val="0"/>
          <w:bCs w:val="0"/>
          <w:spacing w:val="-1"/>
          <w:sz w:val="32"/>
          <w:szCs w:val="32"/>
        </w:rPr>
        <w:t>所执业许可证</w:t>
      </w:r>
      <w:r>
        <w:rPr>
          <w:rFonts w:hint="eastAsia" w:ascii="仿宋_GB2312" w:hAnsi="仿宋_GB2312" w:eastAsia="仿宋_GB2312" w:cs="仿宋_GB2312"/>
          <w:b w:val="0"/>
          <w:bCs w:val="0"/>
          <w:spacing w:val="-1"/>
          <w:sz w:val="32"/>
          <w:szCs w:val="32"/>
          <w:lang w:val="en-US" w:eastAsia="zh-CN"/>
        </w:rPr>
        <w:t>复印件</w:t>
      </w:r>
      <w:r>
        <w:rPr>
          <w:rFonts w:hint="eastAsia" w:ascii="仿宋_GB2312" w:hAnsi="仿宋_GB2312" w:eastAsia="仿宋_GB2312" w:cs="仿宋_GB2312"/>
          <w:b w:val="0"/>
          <w:bCs w:val="0"/>
          <w:spacing w:val="-1"/>
          <w:sz w:val="32"/>
          <w:szCs w:val="32"/>
        </w:rPr>
        <w:t>(加盖公章)</w:t>
      </w:r>
      <w:r>
        <w:rPr>
          <w:rFonts w:hint="eastAsia" w:ascii="仿宋_GB2312" w:hAnsi="仿宋_GB2312" w:eastAsia="仿宋_GB2312" w:cs="仿宋_GB2312"/>
          <w:b w:val="0"/>
          <w:bCs w:val="0"/>
          <w:spacing w:val="-1"/>
          <w:sz w:val="32"/>
          <w:szCs w:val="32"/>
          <w:lang w:eastAsia="zh-CN"/>
        </w:rPr>
        <w:t>。</w:t>
      </w:r>
    </w:p>
    <w:p>
      <w:pPr>
        <w:pStyle w:val="2"/>
        <w:widowControl w:val="0"/>
        <w:kinsoku/>
        <w:spacing w:before="0" w:line="560" w:lineRule="exact"/>
        <w:ind w:left="0" w:firstLine="62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相关材料均为在线填写和提交。</w:t>
      </w:r>
    </w:p>
    <w:p>
      <w:pPr>
        <w:pStyle w:val="2"/>
        <w:widowControl w:val="0"/>
        <w:kinsoku/>
        <w:spacing w:before="0" w:line="560" w:lineRule="exact"/>
        <w:ind w:left="0" w:right="0" w:firstLine="671"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pacing w:val="7"/>
          <w:sz w:val="32"/>
          <w:szCs w:val="32"/>
        </w:rPr>
        <w:t>第九条</w:t>
      </w:r>
      <w:r>
        <w:rPr>
          <w:rFonts w:hint="eastAsia" w:ascii="仿宋_GB2312" w:hAnsi="仿宋_GB2312" w:eastAsia="仿宋_GB2312" w:cs="仿宋_GB2312"/>
          <w:b w:val="0"/>
          <w:bCs w:val="0"/>
          <w:spacing w:val="7"/>
          <w:sz w:val="32"/>
          <w:szCs w:val="32"/>
          <w:lang w:val="en-US" w:eastAsia="zh-CN"/>
        </w:rPr>
        <w:t xml:space="preserve"> 备案主体及代理机构单位名称、联系人、联系方式等信息发生变更后，应及时向保护中心申请信息变更。</w:t>
      </w:r>
      <w:r>
        <w:rPr>
          <w:rFonts w:hint="eastAsia" w:ascii="仿宋_GB2312" w:hAnsi="仿宋_GB2312" w:eastAsia="仿宋_GB2312" w:cs="仿宋_GB2312"/>
          <w:b w:val="0"/>
          <w:bCs w:val="0"/>
          <w:spacing w:val="7"/>
          <w:sz w:val="32"/>
          <w:szCs w:val="32"/>
        </w:rPr>
        <w:t>杭州保护中心按照国家知识产权局有关要求对</w:t>
      </w:r>
      <w:r>
        <w:rPr>
          <w:rFonts w:hint="eastAsia" w:ascii="仿宋_GB2312" w:hAnsi="仿宋_GB2312" w:eastAsia="仿宋_GB2312" w:cs="仿宋_GB2312"/>
          <w:b w:val="0"/>
          <w:bCs w:val="0"/>
          <w:spacing w:val="10"/>
          <w:sz w:val="32"/>
          <w:szCs w:val="32"/>
        </w:rPr>
        <w:t>备案主体和代理主体在本中心的相关预审工作信息开展评</w:t>
      </w:r>
      <w:r>
        <w:rPr>
          <w:rFonts w:hint="eastAsia" w:ascii="仿宋_GB2312" w:hAnsi="仿宋_GB2312" w:eastAsia="仿宋_GB2312" w:cs="仿宋_GB2312"/>
          <w:b w:val="0"/>
          <w:bCs w:val="0"/>
          <w:spacing w:val="-1"/>
          <w:sz w:val="32"/>
          <w:szCs w:val="32"/>
        </w:rPr>
        <w:t>价和</w:t>
      </w:r>
      <w:r>
        <w:rPr>
          <w:rFonts w:hint="eastAsia" w:ascii="仿宋_GB2312" w:hAnsi="仿宋_GB2312" w:eastAsia="仿宋_GB2312" w:cs="仿宋_GB2312"/>
          <w:b w:val="0"/>
          <w:bCs w:val="0"/>
          <w:spacing w:val="-1"/>
          <w:sz w:val="32"/>
          <w:szCs w:val="32"/>
          <w:lang w:val="en-US" w:eastAsia="zh-CN"/>
        </w:rPr>
        <w:t>统计上报</w:t>
      </w:r>
      <w:r>
        <w:rPr>
          <w:rFonts w:hint="eastAsia" w:ascii="仿宋_GB2312" w:hAnsi="仿宋_GB2312" w:eastAsia="仿宋_GB2312" w:cs="仿宋_GB2312"/>
          <w:b w:val="0"/>
          <w:bCs w:val="0"/>
          <w:spacing w:val="-10"/>
          <w:sz w:val="32"/>
          <w:szCs w:val="32"/>
        </w:rPr>
        <w:t>。</w:t>
      </w:r>
    </w:p>
    <w:p>
      <w:pPr>
        <w:widowControl w:val="0"/>
        <w:kinsoku/>
        <w:spacing w:before="0" w:line="560" w:lineRule="exact"/>
        <w:ind w:left="0" w:firstLine="0" w:firstLineChars="0"/>
        <w:jc w:val="center"/>
        <w:outlineLvl w:val="6"/>
        <w:rPr>
          <w:rFonts w:ascii="黑体" w:hAnsi="黑体" w:eastAsia="黑体" w:cs="黑体"/>
          <w:b w:val="0"/>
          <w:bCs w:val="0"/>
          <w:spacing w:val="12"/>
          <w:sz w:val="32"/>
          <w:szCs w:val="32"/>
        </w:rPr>
      </w:pPr>
    </w:p>
    <w:p>
      <w:pPr>
        <w:widowControl w:val="0"/>
        <w:kinsoku/>
        <w:spacing w:before="0" w:line="560" w:lineRule="exact"/>
        <w:ind w:left="0" w:firstLine="0" w:firstLineChars="0"/>
        <w:jc w:val="center"/>
        <w:outlineLvl w:val="6"/>
        <w:rPr>
          <w:rFonts w:ascii="黑体" w:hAnsi="黑体" w:eastAsia="黑体" w:cs="黑体"/>
          <w:b w:val="0"/>
          <w:bCs w:val="0"/>
          <w:sz w:val="32"/>
          <w:szCs w:val="32"/>
        </w:rPr>
      </w:pPr>
      <w:r>
        <w:rPr>
          <w:rFonts w:ascii="黑体" w:hAnsi="黑体" w:eastAsia="黑体" w:cs="黑体"/>
          <w:b w:val="0"/>
          <w:bCs w:val="0"/>
          <w:spacing w:val="12"/>
          <w:sz w:val="32"/>
          <w:szCs w:val="32"/>
        </w:rPr>
        <w:t>第三章预审服务管理</w:t>
      </w:r>
    </w:p>
    <w:p>
      <w:pPr>
        <w:pStyle w:val="2"/>
        <w:widowControl w:val="0"/>
        <w:kinsoku/>
        <w:spacing w:before="0" w:line="560" w:lineRule="exact"/>
        <w:ind w:left="0" w:right="0" w:firstLine="667" w:firstLineChars="200"/>
        <w:jc w:val="both"/>
        <w:rPr>
          <w:rFonts w:hint="eastAsia" w:ascii="仿宋_GB2312" w:hAnsi="仿宋_GB2312" w:eastAsia="仿宋_GB2312" w:cs="仿宋_GB2312"/>
          <w:b w:val="0"/>
          <w:bCs w:val="0"/>
          <w:spacing w:val="6"/>
          <w:sz w:val="32"/>
          <w:szCs w:val="32"/>
          <w:lang w:val="en-US" w:eastAsia="zh-CN"/>
        </w:rPr>
      </w:pPr>
      <w:r>
        <w:rPr>
          <w:rFonts w:hint="eastAsia" w:ascii="仿宋_GB2312" w:hAnsi="仿宋_GB2312" w:eastAsia="仿宋_GB2312" w:cs="仿宋_GB2312"/>
          <w:b/>
          <w:bCs/>
          <w:spacing w:val="6"/>
          <w:sz w:val="32"/>
          <w:szCs w:val="32"/>
        </w:rPr>
        <w:t>第十条</w:t>
      </w:r>
      <w:r>
        <w:rPr>
          <w:rFonts w:hint="eastAsia" w:ascii="仿宋_GB2312" w:hAnsi="仿宋_GB2312" w:eastAsia="仿宋_GB2312" w:cs="仿宋_GB2312"/>
          <w:b w:val="0"/>
          <w:bCs w:val="0"/>
          <w:spacing w:val="6"/>
          <w:sz w:val="32"/>
          <w:szCs w:val="32"/>
          <w:lang w:val="en-US" w:eastAsia="zh-CN"/>
        </w:rPr>
        <w:t xml:space="preserve"> 杭州保护中心按照国家知识产权局关于专利申请预审的相关规定，规范备案主体及代理机构专利申请预审服务的行为，可采取提醒、暂停专利预审服务或报请国家知识产权局取消备案资格等方式维护专利预审工作秩序。</w:t>
      </w:r>
    </w:p>
    <w:p>
      <w:pPr>
        <w:pStyle w:val="2"/>
        <w:widowControl w:val="0"/>
        <w:kinsoku/>
        <w:spacing w:before="0" w:line="560" w:lineRule="exact"/>
        <w:ind w:right="0" w:firstLine="663"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bCs/>
          <w:spacing w:val="5"/>
          <w:sz w:val="32"/>
          <w:szCs w:val="32"/>
        </w:rPr>
        <w:t>第十一条</w:t>
      </w:r>
      <w:r>
        <w:rPr>
          <w:rFonts w:hint="eastAsia" w:ascii="仿宋_GB2312" w:hAnsi="仿宋_GB2312" w:eastAsia="仿宋_GB2312" w:cs="仿宋_GB2312"/>
          <w:b w:val="0"/>
          <w:bCs w:val="0"/>
          <w:spacing w:val="5"/>
          <w:sz w:val="32"/>
          <w:szCs w:val="32"/>
          <w:lang w:val="en-US" w:eastAsia="zh-CN"/>
        </w:rPr>
        <w:t xml:space="preserve"> </w:t>
      </w:r>
      <w:r>
        <w:rPr>
          <w:rFonts w:hint="eastAsia" w:ascii="仿宋_GB2312" w:hAnsi="仿宋_GB2312" w:eastAsia="仿宋_GB2312" w:cs="仿宋_GB2312"/>
          <w:b w:val="0"/>
          <w:bCs w:val="0"/>
          <w:spacing w:val="5"/>
          <w:sz w:val="32"/>
          <w:szCs w:val="32"/>
        </w:rPr>
        <w:t>备案主体、代理机构存在以下情形之一的予以提醒，必要时终止当前申请案件的专利预审服务，不予进入快速审查通道：</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（一）预审申请案件形式问题过多或修改后仍不符合预审要求的；</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（二）违背申请预审服务承诺的；</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（三）正式提交的申请文本中存在明显形式缺陷的；</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（四）预审合格后获得授权的专利，不满一年转让的专利超过3件或授权后维持时间低于2年，未报备或报备理由不充分；</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（五）与未备案主体共同提交预审申请案件超过3件，未报备或报备理由不充分的；</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（六）被国家知识产权局初步认定或者通报为非正常专利申请，既不申诉也不主动撤回的；</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（七）其他不规范行为。</w:t>
      </w:r>
    </w:p>
    <w:p>
      <w:pPr>
        <w:pStyle w:val="2"/>
        <w:widowControl w:val="0"/>
        <w:kinsoku/>
        <w:spacing w:before="0" w:line="560" w:lineRule="exact"/>
        <w:ind w:left="0" w:firstLine="615" w:firstLineChars="200"/>
        <w:jc w:val="both"/>
        <w:rPr>
          <w:rFonts w:hint="eastAsia" w:ascii="仿宋_GB2312" w:hAnsi="仿宋_GB2312" w:eastAsia="仿宋_GB2312" w:cs="仿宋_GB2312"/>
          <w:b w:val="0"/>
          <w:bCs w:val="0"/>
          <w:spacing w:val="-7"/>
          <w:sz w:val="32"/>
          <w:szCs w:val="32"/>
        </w:rPr>
      </w:pPr>
      <w:r>
        <w:rPr>
          <w:rFonts w:hint="eastAsia" w:ascii="仿宋_GB2312" w:hAnsi="仿宋_GB2312" w:eastAsia="仿宋_GB2312" w:cs="仿宋_GB2312"/>
          <w:b/>
          <w:bCs/>
          <w:spacing w:val="-7"/>
          <w:sz w:val="32"/>
          <w:szCs w:val="32"/>
        </w:rPr>
        <w:t>第十二条</w:t>
      </w:r>
      <w:r>
        <w:rPr>
          <w:rFonts w:hint="eastAsia" w:ascii="仿宋_GB2312" w:hAnsi="仿宋_GB2312" w:eastAsia="仿宋_GB2312" w:cs="仿宋_GB2312"/>
          <w:b w:val="0"/>
          <w:bCs w:val="0"/>
          <w:spacing w:val="-7"/>
          <w:sz w:val="32"/>
          <w:szCs w:val="32"/>
          <w:lang w:val="en-US" w:eastAsia="zh-CN"/>
        </w:rPr>
        <w:t xml:space="preserve"> </w:t>
      </w:r>
      <w:r>
        <w:rPr>
          <w:rFonts w:hint="eastAsia" w:ascii="仿宋_GB2312" w:hAnsi="仿宋_GB2312" w:eastAsia="仿宋_GB2312" w:cs="仿宋_GB2312"/>
          <w:b w:val="0"/>
          <w:bCs w:val="0"/>
          <w:spacing w:val="-7"/>
          <w:sz w:val="32"/>
          <w:szCs w:val="32"/>
        </w:rPr>
        <w:t>备案主体存在以下情形之一，可暂停专利预审服务半年：</w:t>
      </w:r>
    </w:p>
    <w:p>
      <w:pPr>
        <w:pStyle w:val="2"/>
        <w:widowControl w:val="0"/>
        <w:kinsoku/>
        <w:spacing w:before="0" w:line="560" w:lineRule="exact"/>
        <w:ind w:left="0" w:firstLine="612" w:firstLineChars="200"/>
        <w:jc w:val="both"/>
        <w:rPr>
          <w:rFonts w:hint="eastAsia" w:ascii="仿宋_GB2312" w:hAnsi="仿宋_GB2312" w:eastAsia="仿宋_GB2312" w:cs="仿宋_GB2312"/>
          <w:b w:val="0"/>
          <w:bCs w:val="0"/>
          <w:spacing w:val="-7"/>
          <w:sz w:val="32"/>
          <w:szCs w:val="32"/>
        </w:rPr>
      </w:pPr>
      <w:r>
        <w:rPr>
          <w:rFonts w:hint="eastAsia" w:ascii="仿宋_GB2312" w:hAnsi="仿宋_GB2312" w:eastAsia="仿宋_GB2312" w:cs="仿宋_GB2312"/>
          <w:b w:val="0"/>
          <w:bCs w:val="0"/>
          <w:spacing w:val="-7"/>
          <w:sz w:val="32"/>
          <w:szCs w:val="32"/>
        </w:rPr>
        <w:t>（一）当年在省内保护中心提交5件及以上预审申请，预审不合格比例超过50%的（不予受理的、受理前主动撤回的除外）；</w:t>
      </w:r>
    </w:p>
    <w:p>
      <w:pPr>
        <w:pStyle w:val="2"/>
        <w:widowControl w:val="0"/>
        <w:kinsoku/>
        <w:spacing w:before="0" w:line="560" w:lineRule="exact"/>
        <w:ind w:left="0" w:firstLine="612" w:firstLineChars="200"/>
        <w:jc w:val="both"/>
        <w:rPr>
          <w:rFonts w:hint="eastAsia" w:ascii="仿宋_GB2312" w:hAnsi="仿宋_GB2312" w:eastAsia="仿宋_GB2312" w:cs="仿宋_GB2312"/>
          <w:b w:val="0"/>
          <w:bCs w:val="0"/>
          <w:spacing w:val="-7"/>
          <w:sz w:val="32"/>
          <w:szCs w:val="32"/>
        </w:rPr>
      </w:pPr>
      <w:r>
        <w:rPr>
          <w:rFonts w:hint="eastAsia" w:ascii="仿宋_GB2312" w:hAnsi="仿宋_GB2312" w:eastAsia="仿宋_GB2312" w:cs="仿宋_GB2312"/>
          <w:b w:val="0"/>
          <w:bCs w:val="0"/>
          <w:spacing w:val="-7"/>
          <w:sz w:val="32"/>
          <w:szCs w:val="32"/>
        </w:rPr>
        <w:t>（二）提交不以保护创新为目的、不以真实发明创造活动为基础，为牟取不正当利益或者虚构创新业绩、服务绩效的预审申请；</w:t>
      </w:r>
    </w:p>
    <w:p>
      <w:pPr>
        <w:pStyle w:val="2"/>
        <w:widowControl w:val="0"/>
        <w:kinsoku/>
        <w:spacing w:before="0" w:line="560" w:lineRule="exact"/>
        <w:ind w:left="0" w:firstLine="612" w:firstLineChars="200"/>
        <w:jc w:val="both"/>
        <w:rPr>
          <w:rFonts w:hint="eastAsia" w:ascii="仿宋_GB2312" w:hAnsi="仿宋_GB2312" w:eastAsia="仿宋_GB2312" w:cs="仿宋_GB2312"/>
          <w:b w:val="0"/>
          <w:bCs w:val="0"/>
          <w:spacing w:val="-7"/>
          <w:sz w:val="32"/>
          <w:szCs w:val="32"/>
        </w:rPr>
      </w:pPr>
      <w:r>
        <w:rPr>
          <w:rFonts w:hint="eastAsia" w:ascii="仿宋_GB2312" w:hAnsi="仿宋_GB2312" w:eastAsia="仿宋_GB2312" w:cs="仿宋_GB2312"/>
          <w:b w:val="0"/>
          <w:bCs w:val="0"/>
          <w:spacing w:val="-7"/>
          <w:sz w:val="32"/>
          <w:szCs w:val="32"/>
        </w:rPr>
        <w:t>（三）当年有1件国家知识产权局认定为非正常专利申请且申诉未通过的；</w:t>
      </w:r>
    </w:p>
    <w:p>
      <w:pPr>
        <w:pStyle w:val="2"/>
        <w:widowControl w:val="0"/>
        <w:kinsoku/>
        <w:spacing w:before="0" w:line="560" w:lineRule="exact"/>
        <w:ind w:left="0" w:firstLine="612" w:firstLineChars="200"/>
        <w:jc w:val="both"/>
        <w:rPr>
          <w:rFonts w:hint="eastAsia" w:ascii="仿宋_GB2312" w:hAnsi="仿宋_GB2312" w:eastAsia="仿宋_GB2312" w:cs="仿宋_GB2312"/>
          <w:b w:val="0"/>
          <w:bCs w:val="0"/>
          <w:spacing w:val="-7"/>
          <w:sz w:val="32"/>
          <w:szCs w:val="32"/>
        </w:rPr>
      </w:pPr>
      <w:r>
        <w:rPr>
          <w:rFonts w:hint="eastAsia" w:ascii="仿宋_GB2312" w:hAnsi="仿宋_GB2312" w:eastAsia="仿宋_GB2312" w:cs="仿宋_GB2312"/>
          <w:b w:val="0"/>
          <w:bCs w:val="0"/>
          <w:spacing w:val="-7"/>
          <w:sz w:val="32"/>
          <w:szCs w:val="32"/>
        </w:rPr>
        <w:t>（四）提醒后拒不改正，或以隐瞒、欺骗的手段应对预审等干扰或不配合专利预审相关工作的。</w:t>
      </w:r>
    </w:p>
    <w:p>
      <w:pPr>
        <w:pStyle w:val="2"/>
        <w:widowControl w:val="0"/>
        <w:kinsoku/>
        <w:spacing w:before="0" w:line="560" w:lineRule="exact"/>
        <w:ind w:left="0" w:firstLine="612" w:firstLineChars="200"/>
        <w:jc w:val="both"/>
        <w:rPr>
          <w:rFonts w:hint="eastAsia" w:ascii="仿宋_GB2312" w:hAnsi="仿宋_GB2312" w:eastAsia="仿宋_GB2312" w:cs="仿宋_GB2312"/>
          <w:b w:val="0"/>
          <w:bCs w:val="0"/>
          <w:spacing w:val="-4"/>
          <w:sz w:val="32"/>
          <w:szCs w:val="32"/>
          <w:lang w:eastAsia="zh-CN"/>
        </w:rPr>
      </w:pPr>
      <w:r>
        <w:rPr>
          <w:rFonts w:hint="eastAsia" w:ascii="仿宋_GB2312" w:hAnsi="仿宋_GB2312" w:eastAsia="仿宋_GB2312" w:cs="仿宋_GB2312"/>
          <w:b w:val="0"/>
          <w:bCs w:val="0"/>
          <w:spacing w:val="-7"/>
          <w:sz w:val="32"/>
          <w:szCs w:val="32"/>
        </w:rPr>
        <w:t>暂停期满后，备案主体须书面申请恢复专利预审服务。</w:t>
      </w:r>
    </w:p>
    <w:p>
      <w:pPr>
        <w:pStyle w:val="2"/>
        <w:widowControl w:val="0"/>
        <w:kinsoku/>
        <w:spacing w:before="0" w:line="560" w:lineRule="exact"/>
        <w:ind w:left="0" w:firstLine="607" w:firstLineChars="200"/>
        <w:jc w:val="both"/>
        <w:rPr>
          <w:rFonts w:hint="eastAsia" w:ascii="仿宋_GB2312" w:hAnsi="仿宋_GB2312" w:eastAsia="仿宋_GB2312" w:cs="仿宋_GB2312"/>
          <w:b w:val="0"/>
          <w:bCs w:val="0"/>
          <w:spacing w:val="-9"/>
          <w:sz w:val="32"/>
          <w:szCs w:val="32"/>
        </w:rPr>
      </w:pPr>
      <w:r>
        <w:rPr>
          <w:rFonts w:hint="eastAsia" w:ascii="仿宋_GB2312" w:hAnsi="仿宋_GB2312" w:eastAsia="仿宋_GB2312" w:cs="仿宋_GB2312"/>
          <w:b/>
          <w:bCs/>
          <w:spacing w:val="-9"/>
          <w:sz w:val="32"/>
          <w:szCs w:val="32"/>
        </w:rPr>
        <w:t>第十三条</w:t>
      </w:r>
      <w:r>
        <w:rPr>
          <w:rFonts w:hint="eastAsia" w:ascii="仿宋_GB2312" w:hAnsi="仿宋_GB2312" w:eastAsia="仿宋_GB2312" w:cs="仿宋_GB2312"/>
          <w:b w:val="0"/>
          <w:bCs w:val="0"/>
          <w:spacing w:val="-9"/>
          <w:sz w:val="32"/>
          <w:szCs w:val="32"/>
          <w:lang w:val="en-US" w:eastAsia="zh-CN"/>
        </w:rPr>
        <w:t xml:space="preserve"> </w:t>
      </w:r>
      <w:r>
        <w:rPr>
          <w:rFonts w:hint="eastAsia" w:ascii="仿宋_GB2312" w:hAnsi="仿宋_GB2312" w:eastAsia="仿宋_GB2312" w:cs="仿宋_GB2312"/>
          <w:b w:val="0"/>
          <w:bCs w:val="0"/>
          <w:spacing w:val="-9"/>
          <w:sz w:val="32"/>
          <w:szCs w:val="32"/>
        </w:rPr>
        <w:t>备案主体存在以下情形之一，可取消备案资格，且在三年内不再受理备案申请：</w:t>
      </w:r>
    </w:p>
    <w:p>
      <w:pPr>
        <w:pStyle w:val="2"/>
        <w:widowControl w:val="0"/>
        <w:kinsoku/>
        <w:spacing w:before="0" w:line="560" w:lineRule="exact"/>
        <w:ind w:left="0" w:firstLine="604" w:firstLineChars="200"/>
        <w:jc w:val="both"/>
        <w:rPr>
          <w:rFonts w:hint="eastAsia" w:ascii="仿宋_GB2312" w:hAnsi="仿宋_GB2312" w:eastAsia="仿宋_GB2312" w:cs="仿宋_GB2312"/>
          <w:b w:val="0"/>
          <w:bCs w:val="0"/>
          <w:spacing w:val="-9"/>
          <w:sz w:val="32"/>
          <w:szCs w:val="32"/>
        </w:rPr>
      </w:pPr>
      <w:r>
        <w:rPr>
          <w:rFonts w:hint="eastAsia" w:ascii="仿宋_GB2312" w:hAnsi="仿宋_GB2312" w:eastAsia="仿宋_GB2312" w:cs="仿宋_GB2312"/>
          <w:b w:val="0"/>
          <w:bCs w:val="0"/>
          <w:spacing w:val="-9"/>
          <w:sz w:val="32"/>
          <w:szCs w:val="32"/>
        </w:rPr>
        <w:t>（一）当年在省内保护中心提交5件及以上预审申请，预审不合格比例超过70%的（不予受理的、受理前主动撤回的除外）；</w:t>
      </w:r>
    </w:p>
    <w:p>
      <w:pPr>
        <w:pStyle w:val="2"/>
        <w:widowControl w:val="0"/>
        <w:kinsoku/>
        <w:spacing w:before="0" w:line="560" w:lineRule="exact"/>
        <w:ind w:left="0" w:firstLine="604" w:firstLineChars="200"/>
        <w:jc w:val="both"/>
        <w:rPr>
          <w:rFonts w:hint="eastAsia" w:ascii="仿宋_GB2312" w:hAnsi="仿宋_GB2312" w:eastAsia="仿宋_GB2312" w:cs="仿宋_GB2312"/>
          <w:b w:val="0"/>
          <w:bCs w:val="0"/>
          <w:spacing w:val="-9"/>
          <w:sz w:val="32"/>
          <w:szCs w:val="32"/>
        </w:rPr>
      </w:pPr>
      <w:r>
        <w:rPr>
          <w:rFonts w:hint="eastAsia" w:ascii="仿宋_GB2312" w:hAnsi="仿宋_GB2312" w:eastAsia="仿宋_GB2312" w:cs="仿宋_GB2312"/>
          <w:b w:val="0"/>
          <w:bCs w:val="0"/>
          <w:spacing w:val="-9"/>
          <w:sz w:val="32"/>
          <w:szCs w:val="32"/>
        </w:rPr>
        <w:t>（二）当年有2件以上的专利申请被国家知识产权局认定为非正常专利申请且申诉未通过的；</w:t>
      </w:r>
    </w:p>
    <w:p>
      <w:pPr>
        <w:pStyle w:val="2"/>
        <w:widowControl w:val="0"/>
        <w:kinsoku/>
        <w:spacing w:before="0" w:line="560" w:lineRule="exact"/>
        <w:ind w:left="0" w:firstLine="604" w:firstLineChars="200"/>
        <w:jc w:val="both"/>
        <w:rPr>
          <w:rFonts w:hint="eastAsia" w:ascii="仿宋_GB2312" w:hAnsi="仿宋_GB2312" w:eastAsia="仿宋_GB2312" w:cs="仿宋_GB2312"/>
          <w:b w:val="0"/>
          <w:bCs w:val="0"/>
          <w:spacing w:val="-9"/>
          <w:sz w:val="32"/>
          <w:szCs w:val="32"/>
        </w:rPr>
      </w:pPr>
      <w:r>
        <w:rPr>
          <w:rFonts w:hint="eastAsia" w:ascii="仿宋_GB2312" w:hAnsi="仿宋_GB2312" w:eastAsia="仿宋_GB2312" w:cs="仿宋_GB2312"/>
          <w:b w:val="0"/>
          <w:bCs w:val="0"/>
          <w:spacing w:val="-9"/>
          <w:sz w:val="32"/>
          <w:szCs w:val="32"/>
        </w:rPr>
        <w:t>（三）已暂停专利预审服务一次，再次违反本办</w:t>
      </w:r>
      <w:r>
        <w:rPr>
          <w:rFonts w:hint="eastAsia" w:ascii="仿宋_GB2312" w:hAnsi="仿宋_GB2312" w:eastAsia="仿宋_GB2312" w:cs="仿宋_GB2312"/>
          <w:b w:val="0"/>
          <w:bCs w:val="0"/>
          <w:spacing w:val="-9"/>
          <w:sz w:val="32"/>
          <w:szCs w:val="32"/>
          <w:lang w:eastAsia="zh-CN"/>
        </w:rPr>
        <w:t>法</w:t>
      </w:r>
      <w:r>
        <w:rPr>
          <w:rFonts w:hint="eastAsia" w:ascii="仿宋_GB2312" w:hAnsi="仿宋_GB2312" w:eastAsia="仿宋_GB2312" w:cs="仿宋_GB2312"/>
          <w:b w:val="0"/>
          <w:bCs w:val="0"/>
          <w:spacing w:val="-9"/>
          <w:sz w:val="32"/>
          <w:szCs w:val="32"/>
        </w:rPr>
        <w:t>的；</w:t>
      </w:r>
    </w:p>
    <w:p>
      <w:pPr>
        <w:pStyle w:val="2"/>
        <w:widowControl w:val="0"/>
        <w:kinsoku/>
        <w:spacing w:before="0" w:line="560" w:lineRule="exact"/>
        <w:ind w:left="0" w:firstLine="604" w:firstLineChars="200"/>
        <w:jc w:val="both"/>
        <w:rPr>
          <w:rFonts w:hint="eastAsia" w:ascii="仿宋_GB2312" w:hAnsi="仿宋_GB2312" w:eastAsia="仿宋_GB2312" w:cs="仿宋_GB2312"/>
          <w:b w:val="0"/>
          <w:bCs w:val="0"/>
          <w:spacing w:val="-9"/>
          <w:sz w:val="32"/>
          <w:szCs w:val="32"/>
        </w:rPr>
      </w:pPr>
      <w:r>
        <w:rPr>
          <w:rFonts w:hint="eastAsia" w:ascii="仿宋_GB2312" w:hAnsi="仿宋_GB2312" w:eastAsia="仿宋_GB2312" w:cs="仿宋_GB2312"/>
          <w:b w:val="0"/>
          <w:bCs w:val="0"/>
          <w:spacing w:val="-9"/>
          <w:sz w:val="32"/>
          <w:szCs w:val="32"/>
        </w:rPr>
        <w:t>（四）存在恶意侵犯专利、商标等知识产权行为，被知识产权行政、司法部门要求停止侵权后拒不执行的；</w:t>
      </w:r>
    </w:p>
    <w:p>
      <w:pPr>
        <w:pStyle w:val="2"/>
        <w:widowControl w:val="0"/>
        <w:kinsoku/>
        <w:spacing w:before="0" w:line="560" w:lineRule="exact"/>
        <w:ind w:left="0" w:firstLine="604" w:firstLineChars="200"/>
        <w:jc w:val="both"/>
        <w:rPr>
          <w:rFonts w:hint="eastAsia" w:ascii="仿宋_GB2312" w:hAnsi="仿宋_GB2312" w:eastAsia="仿宋_GB2312" w:cs="仿宋_GB2312"/>
          <w:b w:val="0"/>
          <w:bCs w:val="0"/>
          <w:spacing w:val="-9"/>
          <w:sz w:val="32"/>
          <w:szCs w:val="32"/>
        </w:rPr>
      </w:pPr>
      <w:r>
        <w:rPr>
          <w:rFonts w:hint="eastAsia" w:ascii="仿宋_GB2312" w:hAnsi="仿宋_GB2312" w:eastAsia="仿宋_GB2312" w:cs="仿宋_GB2312"/>
          <w:b w:val="0"/>
          <w:bCs w:val="0"/>
          <w:spacing w:val="-9"/>
          <w:sz w:val="32"/>
          <w:szCs w:val="32"/>
        </w:rPr>
        <w:t>（五）严重干扰专利预审相关工作的。</w:t>
      </w:r>
    </w:p>
    <w:p>
      <w:pPr>
        <w:pStyle w:val="2"/>
        <w:widowControl w:val="0"/>
        <w:kinsoku/>
        <w:spacing w:before="0" w:line="560" w:lineRule="exact"/>
        <w:ind w:right="0" w:firstLine="599" w:firstLineChars="200"/>
        <w:jc w:val="both"/>
        <w:rPr>
          <w:rFonts w:hint="eastAsia" w:ascii="仿宋_GB2312" w:hAnsi="仿宋_GB2312" w:eastAsia="仿宋_GB2312" w:cs="仿宋_GB2312"/>
          <w:b w:val="0"/>
          <w:bCs w:val="0"/>
          <w:spacing w:val="-11"/>
          <w:sz w:val="32"/>
          <w:szCs w:val="32"/>
        </w:rPr>
      </w:pPr>
      <w:r>
        <w:rPr>
          <w:rFonts w:hint="eastAsia" w:ascii="仿宋_GB2312" w:hAnsi="仿宋_GB2312" w:eastAsia="仿宋_GB2312" w:cs="仿宋_GB2312"/>
          <w:b/>
          <w:bCs/>
          <w:spacing w:val="-11"/>
          <w:sz w:val="32"/>
          <w:szCs w:val="32"/>
        </w:rPr>
        <w:t>第十四条</w:t>
      </w:r>
      <w:r>
        <w:rPr>
          <w:rFonts w:hint="eastAsia" w:ascii="仿宋_GB2312" w:hAnsi="仿宋_GB2312" w:eastAsia="仿宋_GB2312" w:cs="仿宋_GB2312"/>
          <w:b w:val="0"/>
          <w:bCs w:val="0"/>
          <w:spacing w:val="-11"/>
          <w:sz w:val="32"/>
          <w:szCs w:val="32"/>
          <w:lang w:val="en-US" w:eastAsia="zh-CN"/>
        </w:rPr>
        <w:t xml:space="preserve"> </w:t>
      </w:r>
      <w:r>
        <w:rPr>
          <w:rFonts w:hint="eastAsia" w:ascii="仿宋_GB2312" w:hAnsi="仿宋_GB2312" w:eastAsia="仿宋_GB2312" w:cs="仿宋_GB2312"/>
          <w:b w:val="0"/>
          <w:bCs w:val="0"/>
          <w:spacing w:val="-11"/>
          <w:sz w:val="32"/>
          <w:szCs w:val="32"/>
        </w:rPr>
        <w:t>代理机构存在以下情形之一，可暂停专利预审服务半年：</w:t>
      </w:r>
    </w:p>
    <w:p>
      <w:pPr>
        <w:pStyle w:val="2"/>
        <w:widowControl w:val="0"/>
        <w:kinsoku/>
        <w:spacing w:before="0" w:line="560" w:lineRule="exact"/>
        <w:ind w:right="0" w:firstLine="596" w:firstLineChars="200"/>
        <w:jc w:val="both"/>
        <w:rPr>
          <w:rFonts w:hint="eastAsia" w:ascii="仿宋_GB2312" w:hAnsi="仿宋_GB2312" w:eastAsia="仿宋_GB2312" w:cs="仿宋_GB2312"/>
          <w:b w:val="0"/>
          <w:bCs w:val="0"/>
          <w:spacing w:val="-11"/>
          <w:sz w:val="32"/>
          <w:szCs w:val="32"/>
        </w:rPr>
      </w:pPr>
      <w:r>
        <w:rPr>
          <w:rFonts w:hint="eastAsia" w:ascii="仿宋_GB2312" w:hAnsi="仿宋_GB2312" w:eastAsia="仿宋_GB2312" w:cs="仿宋_GB2312"/>
          <w:b w:val="0"/>
          <w:bCs w:val="0"/>
          <w:spacing w:val="-11"/>
          <w:sz w:val="32"/>
          <w:szCs w:val="32"/>
        </w:rPr>
        <w:t>（一）当年在省内保护中心提交10件及以上预审申请，预审不合格比例超过50%的（不予受理的、受理前主动撤回的除外）；</w:t>
      </w:r>
    </w:p>
    <w:p>
      <w:pPr>
        <w:pStyle w:val="2"/>
        <w:widowControl w:val="0"/>
        <w:kinsoku/>
        <w:spacing w:before="0" w:line="560" w:lineRule="exact"/>
        <w:ind w:right="0" w:firstLine="596" w:firstLineChars="200"/>
        <w:jc w:val="both"/>
        <w:rPr>
          <w:rFonts w:hint="eastAsia" w:ascii="仿宋_GB2312" w:hAnsi="仿宋_GB2312" w:eastAsia="仿宋_GB2312" w:cs="仿宋_GB2312"/>
          <w:b w:val="0"/>
          <w:bCs w:val="0"/>
          <w:spacing w:val="-11"/>
          <w:sz w:val="32"/>
          <w:szCs w:val="32"/>
        </w:rPr>
      </w:pPr>
      <w:r>
        <w:rPr>
          <w:rFonts w:hint="eastAsia" w:ascii="仿宋_GB2312" w:hAnsi="仿宋_GB2312" w:eastAsia="仿宋_GB2312" w:cs="仿宋_GB2312"/>
          <w:b w:val="0"/>
          <w:bCs w:val="0"/>
          <w:spacing w:val="-11"/>
          <w:sz w:val="32"/>
          <w:szCs w:val="32"/>
        </w:rPr>
        <w:t>（二）违背申请预审服务承诺书中承诺；</w:t>
      </w:r>
    </w:p>
    <w:p>
      <w:pPr>
        <w:pStyle w:val="2"/>
        <w:widowControl w:val="0"/>
        <w:kinsoku/>
        <w:spacing w:before="0" w:line="560" w:lineRule="exact"/>
        <w:ind w:right="0" w:firstLine="596" w:firstLineChars="200"/>
        <w:jc w:val="both"/>
        <w:rPr>
          <w:rFonts w:hint="eastAsia" w:ascii="仿宋_GB2312" w:hAnsi="仿宋_GB2312" w:eastAsia="仿宋_GB2312" w:cs="仿宋_GB2312"/>
          <w:b w:val="0"/>
          <w:bCs w:val="0"/>
          <w:spacing w:val="-11"/>
          <w:sz w:val="32"/>
          <w:szCs w:val="32"/>
        </w:rPr>
      </w:pPr>
      <w:r>
        <w:rPr>
          <w:rFonts w:hint="eastAsia" w:ascii="仿宋_GB2312" w:hAnsi="仿宋_GB2312" w:eastAsia="仿宋_GB2312" w:cs="仿宋_GB2312"/>
          <w:b w:val="0"/>
          <w:bCs w:val="0"/>
          <w:spacing w:val="-11"/>
          <w:sz w:val="32"/>
          <w:szCs w:val="32"/>
        </w:rPr>
        <w:t>（三）干扰或不配合专利申请预审相关工作的。</w:t>
      </w:r>
    </w:p>
    <w:p>
      <w:pPr>
        <w:pStyle w:val="2"/>
        <w:widowControl w:val="0"/>
        <w:kinsoku/>
        <w:spacing w:before="0" w:line="560" w:lineRule="exact"/>
        <w:ind w:right="0" w:firstLine="596"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pacing w:val="-11"/>
          <w:sz w:val="32"/>
          <w:szCs w:val="32"/>
        </w:rPr>
        <w:t>暂停期满后，代理机构需书面申请并审核通过后，可以恢复专利预审服务。</w:t>
      </w:r>
    </w:p>
    <w:p>
      <w:pPr>
        <w:pStyle w:val="2"/>
        <w:widowControl w:val="0"/>
        <w:kinsoku/>
        <w:spacing w:before="0" w:line="560" w:lineRule="exact"/>
        <w:ind w:right="0" w:firstLine="663"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bCs/>
          <w:spacing w:val="5"/>
          <w:sz w:val="32"/>
          <w:szCs w:val="32"/>
        </w:rPr>
        <w:t>第十五条</w:t>
      </w:r>
      <w:r>
        <w:rPr>
          <w:rFonts w:hint="eastAsia" w:ascii="仿宋_GB2312" w:hAnsi="仿宋_GB2312" w:eastAsia="仿宋_GB2312" w:cs="仿宋_GB2312"/>
          <w:b w:val="0"/>
          <w:bCs w:val="0"/>
          <w:spacing w:val="5"/>
          <w:sz w:val="32"/>
          <w:szCs w:val="32"/>
          <w:lang w:val="en-US" w:eastAsia="zh-CN"/>
        </w:rPr>
        <w:t xml:space="preserve"> </w:t>
      </w:r>
      <w:r>
        <w:rPr>
          <w:rFonts w:hint="eastAsia" w:ascii="仿宋_GB2312" w:hAnsi="仿宋_GB2312" w:eastAsia="仿宋_GB2312" w:cs="仿宋_GB2312"/>
          <w:b w:val="0"/>
          <w:bCs w:val="0"/>
          <w:spacing w:val="5"/>
          <w:sz w:val="32"/>
          <w:szCs w:val="32"/>
        </w:rPr>
        <w:t>代理机构存在以下情形之一的取消登记，必要时向中华全国专利代理师协会反馈情况，其中存在（三）至（七）情形的，一年内不再受理登记申请：</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（一）被列入经营异常名录；</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（二）不满足本办法第九条要求的；</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（三）允许其他单位或个人以本代理机构名义提交预审案件；</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（四）被列入严重违法失信名单的；</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（五）提交虚假材料或协助备案主体伪造虚假材料的；</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5"/>
          <w:sz w:val="32"/>
          <w:szCs w:val="32"/>
        </w:rPr>
      </w:pPr>
      <w:r>
        <w:rPr>
          <w:rFonts w:hint="eastAsia" w:ascii="仿宋_GB2312" w:hAnsi="仿宋_GB2312" w:eastAsia="仿宋_GB2312" w:cs="仿宋_GB2312"/>
          <w:b w:val="0"/>
          <w:bCs w:val="0"/>
          <w:spacing w:val="5"/>
          <w:sz w:val="32"/>
          <w:szCs w:val="32"/>
        </w:rPr>
        <w:t>（六）已暂停专利预审服务一次，再次违反本办法的；</w:t>
      </w:r>
    </w:p>
    <w:p>
      <w:pPr>
        <w:pStyle w:val="2"/>
        <w:widowControl w:val="0"/>
        <w:kinsoku/>
        <w:spacing w:before="0" w:line="560" w:lineRule="exact"/>
        <w:ind w:right="0" w:firstLine="660" w:firstLineChars="200"/>
        <w:jc w:val="both"/>
        <w:rPr>
          <w:rFonts w:hint="eastAsia" w:ascii="仿宋_GB2312" w:hAnsi="仿宋_GB2312" w:eastAsia="仿宋_GB2312" w:cs="仿宋_GB2312"/>
          <w:b w:val="0"/>
          <w:bCs w:val="0"/>
          <w:spacing w:val="-4"/>
          <w:sz w:val="32"/>
          <w:szCs w:val="32"/>
        </w:rPr>
      </w:pPr>
      <w:r>
        <w:rPr>
          <w:rFonts w:hint="eastAsia" w:ascii="仿宋_GB2312" w:hAnsi="仿宋_GB2312" w:eastAsia="仿宋_GB2312" w:cs="仿宋_GB2312"/>
          <w:b w:val="0"/>
          <w:bCs w:val="0"/>
          <w:spacing w:val="5"/>
          <w:sz w:val="32"/>
          <w:szCs w:val="32"/>
        </w:rPr>
        <w:t>（七）公开预审流程文件或相关材料等严重干扰专利预审正常秩序的。</w:t>
      </w:r>
    </w:p>
    <w:p>
      <w:pPr>
        <w:widowControl w:val="0"/>
        <w:kinsoku/>
        <w:spacing w:line="560" w:lineRule="exact"/>
        <w:jc w:val="both"/>
        <w:rPr>
          <w:rFonts w:ascii="Arial"/>
          <w:b w:val="0"/>
          <w:bCs w:val="0"/>
          <w:sz w:val="21"/>
        </w:rPr>
      </w:pPr>
    </w:p>
    <w:p>
      <w:pPr>
        <w:widowControl w:val="0"/>
        <w:kinsoku/>
        <w:spacing w:before="0" w:line="560" w:lineRule="exact"/>
        <w:ind w:left="0" w:firstLine="0" w:firstLineChars="0"/>
        <w:jc w:val="center"/>
        <w:outlineLvl w:val="0"/>
        <w:rPr>
          <w:rFonts w:ascii="黑体" w:hAnsi="黑体" w:eastAsia="黑体" w:cs="黑体"/>
          <w:b w:val="0"/>
          <w:bCs w:val="0"/>
          <w:sz w:val="32"/>
          <w:szCs w:val="32"/>
        </w:rPr>
      </w:pPr>
      <w:r>
        <w:rPr>
          <w:rFonts w:ascii="黑体" w:hAnsi="黑体" w:eastAsia="黑体" w:cs="黑体"/>
          <w:b w:val="0"/>
          <w:bCs w:val="0"/>
          <w:spacing w:val="29"/>
          <w:sz w:val="32"/>
          <w:szCs w:val="32"/>
        </w:rPr>
        <w:t>第四章附则</w:t>
      </w:r>
    </w:p>
    <w:p>
      <w:pPr>
        <w:pStyle w:val="2"/>
        <w:widowControl w:val="0"/>
        <w:kinsoku/>
        <w:spacing w:before="0" w:line="560" w:lineRule="exact"/>
        <w:ind w:left="0" w:right="0" w:firstLine="675" w:firstLineChars="200"/>
        <w:jc w:val="both"/>
        <w:rPr>
          <w:rFonts w:hint="eastAsia" w:ascii="仿宋_GB2312" w:hAnsi="仿宋_GB2312" w:eastAsia="仿宋_GB2312" w:cs="仿宋_GB2312"/>
          <w:b w:val="0"/>
          <w:bCs w:val="0"/>
          <w:spacing w:val="-7"/>
          <w:sz w:val="32"/>
          <w:szCs w:val="32"/>
        </w:rPr>
      </w:pPr>
      <w:r>
        <w:rPr>
          <w:rFonts w:hint="eastAsia" w:ascii="仿宋_GB2312" w:hAnsi="仿宋_GB2312" w:eastAsia="仿宋_GB2312" w:cs="仿宋_GB2312"/>
          <w:b/>
          <w:bCs/>
          <w:spacing w:val="8"/>
          <w:sz w:val="32"/>
          <w:szCs w:val="32"/>
        </w:rPr>
        <w:t>第十六条</w:t>
      </w:r>
      <w:r>
        <w:rPr>
          <w:rFonts w:hint="eastAsia" w:ascii="仿宋_GB2312" w:hAnsi="仿宋_GB2312" w:eastAsia="仿宋_GB2312" w:cs="仿宋_GB2312"/>
          <w:b w:val="0"/>
          <w:bCs w:val="0"/>
          <w:spacing w:val="8"/>
          <w:sz w:val="32"/>
          <w:szCs w:val="32"/>
          <w:lang w:val="en-US" w:eastAsia="zh-CN"/>
        </w:rPr>
        <w:t xml:space="preserve"> </w:t>
      </w:r>
      <w:r>
        <w:rPr>
          <w:rFonts w:hint="eastAsia" w:ascii="仿宋_GB2312" w:hAnsi="仿宋_GB2312" w:eastAsia="仿宋_GB2312" w:cs="仿宋_GB2312"/>
          <w:b w:val="0"/>
          <w:bCs w:val="0"/>
          <w:spacing w:val="8"/>
          <w:sz w:val="32"/>
          <w:szCs w:val="32"/>
        </w:rPr>
        <w:t>备案主体自备案合格之日起两年内未向杭州</w:t>
      </w:r>
      <w:r>
        <w:rPr>
          <w:rFonts w:hint="eastAsia" w:ascii="仿宋_GB2312" w:hAnsi="仿宋_GB2312" w:eastAsia="仿宋_GB2312" w:cs="仿宋_GB2312"/>
          <w:b w:val="0"/>
          <w:bCs w:val="0"/>
          <w:spacing w:val="-1"/>
          <w:sz w:val="32"/>
          <w:szCs w:val="32"/>
        </w:rPr>
        <w:t>保护中心提交任何预审申请案件，视为放弃备案资格。</w:t>
      </w:r>
      <w:r>
        <w:rPr>
          <w:rFonts w:hint="eastAsia" w:ascii="仿宋_GB2312" w:hAnsi="仿宋_GB2312" w:eastAsia="仿宋_GB2312" w:cs="仿宋_GB2312"/>
          <w:b w:val="0"/>
          <w:bCs w:val="0"/>
          <w:spacing w:val="-4"/>
          <w:sz w:val="32"/>
          <w:szCs w:val="32"/>
        </w:rPr>
        <w:t>备案主体如自愿放弃备案资格，</w:t>
      </w:r>
      <w:r>
        <w:rPr>
          <w:rFonts w:hint="eastAsia" w:ascii="仿宋_GB2312" w:hAnsi="仿宋_GB2312" w:eastAsia="仿宋_GB2312" w:cs="仿宋_GB2312"/>
          <w:b w:val="0"/>
          <w:bCs w:val="0"/>
          <w:spacing w:val="-7"/>
          <w:sz w:val="32"/>
          <w:szCs w:val="32"/>
        </w:rPr>
        <w:t>可向杭州保护中心提出书面申请。</w:t>
      </w:r>
      <w:r>
        <w:rPr>
          <w:rFonts w:hint="eastAsia" w:ascii="仿宋_GB2312" w:hAnsi="仿宋_GB2312" w:eastAsia="仿宋_GB2312" w:cs="仿宋_GB2312"/>
          <w:b w:val="0"/>
          <w:bCs w:val="0"/>
          <w:spacing w:val="-1"/>
          <w:sz w:val="32"/>
          <w:szCs w:val="32"/>
          <w:lang w:val="en-US" w:eastAsia="zh-CN"/>
        </w:rPr>
        <w:t>因严重违规或失信被浙江省内保护中心暂停预审的主体，杭州保护中心将参照同步暂停相关单位预审服务。</w:t>
      </w:r>
    </w:p>
    <w:p>
      <w:pPr>
        <w:pStyle w:val="2"/>
        <w:widowControl w:val="0"/>
        <w:kinsoku/>
        <w:spacing w:before="0" w:line="560" w:lineRule="exact"/>
        <w:ind w:left="0" w:right="0" w:firstLine="612" w:firstLineChars="200"/>
        <w:jc w:val="both"/>
        <w:rPr>
          <w:rFonts w:hint="eastAsia" w:ascii="仿宋_GB2312" w:hAnsi="仿宋_GB2312" w:eastAsia="仿宋_GB2312" w:cs="仿宋_GB2312"/>
          <w:b/>
          <w:bCs/>
          <w:spacing w:val="5"/>
          <w:sz w:val="32"/>
          <w:szCs w:val="32"/>
        </w:rPr>
      </w:pPr>
      <w:r>
        <w:rPr>
          <w:rFonts w:hint="eastAsia" w:ascii="仿宋_GB2312" w:hAnsi="仿宋_GB2312" w:eastAsia="仿宋_GB2312" w:cs="仿宋_GB2312"/>
          <w:b w:val="0"/>
          <w:bCs w:val="0"/>
          <w:spacing w:val="-7"/>
          <w:sz w:val="32"/>
          <w:szCs w:val="32"/>
          <w:lang w:val="en-US" w:eastAsia="zh-CN"/>
        </w:rPr>
        <w:t>保护</w:t>
      </w:r>
      <w:r>
        <w:rPr>
          <w:rFonts w:hint="eastAsia" w:ascii="仿宋_GB2312" w:hAnsi="仿宋_GB2312" w:eastAsia="仿宋_GB2312" w:cs="仿宋_GB2312"/>
          <w:b w:val="0"/>
          <w:bCs w:val="0"/>
          <w:spacing w:val="-7"/>
          <w:sz w:val="32"/>
          <w:szCs w:val="32"/>
        </w:rPr>
        <w:t>中心对违反预审服务管理办法作出处理的，以电子邮件</w:t>
      </w:r>
      <w:r>
        <w:rPr>
          <w:rFonts w:hint="eastAsia" w:ascii="仿宋_GB2312" w:hAnsi="仿宋_GB2312" w:eastAsia="仿宋_GB2312" w:cs="仿宋_GB2312"/>
          <w:b w:val="0"/>
          <w:bCs w:val="0"/>
          <w:spacing w:val="-7"/>
          <w:sz w:val="32"/>
          <w:szCs w:val="32"/>
          <w:lang w:eastAsia="zh-CN"/>
        </w:rPr>
        <w:t>、</w:t>
      </w:r>
      <w:r>
        <w:rPr>
          <w:rFonts w:hint="eastAsia" w:ascii="仿宋_GB2312" w:hAnsi="仿宋_GB2312" w:eastAsia="仿宋_GB2312" w:cs="仿宋_GB2312"/>
          <w:b w:val="0"/>
          <w:bCs w:val="0"/>
          <w:spacing w:val="-7"/>
          <w:sz w:val="32"/>
          <w:szCs w:val="32"/>
          <w:lang w:val="en-US" w:eastAsia="zh-CN"/>
        </w:rPr>
        <w:t>短信平台</w:t>
      </w:r>
      <w:r>
        <w:rPr>
          <w:rFonts w:hint="eastAsia" w:ascii="仿宋_GB2312" w:hAnsi="仿宋_GB2312" w:eastAsia="仿宋_GB2312" w:cs="仿宋_GB2312"/>
          <w:b w:val="0"/>
          <w:bCs w:val="0"/>
          <w:spacing w:val="-7"/>
          <w:sz w:val="32"/>
          <w:szCs w:val="32"/>
        </w:rPr>
        <w:t>等方式通知相关备案主体和代理机构。当事方对处理意见有异议的，可在收到通知之日起五个工作日内，向</w:t>
      </w:r>
      <w:r>
        <w:rPr>
          <w:rFonts w:hint="eastAsia" w:ascii="仿宋_GB2312" w:hAnsi="仿宋_GB2312" w:eastAsia="仿宋_GB2312" w:cs="仿宋_GB2312"/>
          <w:b w:val="0"/>
          <w:bCs w:val="0"/>
          <w:spacing w:val="-7"/>
          <w:sz w:val="32"/>
          <w:szCs w:val="32"/>
          <w:lang w:val="en-US" w:eastAsia="zh-CN"/>
        </w:rPr>
        <w:t>保护</w:t>
      </w:r>
      <w:r>
        <w:rPr>
          <w:rFonts w:hint="eastAsia" w:ascii="仿宋_GB2312" w:hAnsi="仿宋_GB2312" w:eastAsia="仿宋_GB2312" w:cs="仿宋_GB2312"/>
          <w:b w:val="0"/>
          <w:bCs w:val="0"/>
          <w:spacing w:val="-7"/>
          <w:sz w:val="32"/>
          <w:szCs w:val="32"/>
        </w:rPr>
        <w:t>中心提出异议并提供证明材料。经审定，异议成立的，取消处理结果；异议不成立的，维持原处理结果。</w:t>
      </w:r>
    </w:p>
    <w:p>
      <w:pPr>
        <w:pStyle w:val="2"/>
        <w:widowControl w:val="0"/>
        <w:kinsoku/>
        <w:spacing w:before="0" w:line="560" w:lineRule="exact"/>
        <w:ind w:left="0" w:right="0" w:firstLine="663" w:firstLineChars="200"/>
        <w:jc w:val="both"/>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pacing w:val="5"/>
          <w:sz w:val="32"/>
          <w:szCs w:val="32"/>
        </w:rPr>
        <w:t>第十七条</w:t>
      </w:r>
      <w:r>
        <w:rPr>
          <w:rFonts w:hint="eastAsia" w:ascii="仿宋_GB2312" w:hAnsi="仿宋_GB2312" w:eastAsia="仿宋_GB2312" w:cs="仿宋_GB2312"/>
          <w:b w:val="0"/>
          <w:bCs w:val="0"/>
          <w:spacing w:val="5"/>
          <w:sz w:val="32"/>
          <w:szCs w:val="32"/>
          <w:lang w:val="en-US" w:eastAsia="zh-CN"/>
        </w:rPr>
        <w:t xml:space="preserve"> </w:t>
      </w:r>
      <w:r>
        <w:rPr>
          <w:rFonts w:hint="eastAsia" w:ascii="仿宋_GB2312" w:hAnsi="仿宋_GB2312" w:eastAsia="仿宋_GB2312" w:cs="仿宋_GB2312"/>
          <w:b w:val="0"/>
          <w:bCs w:val="0"/>
          <w:spacing w:val="5"/>
          <w:sz w:val="32"/>
          <w:szCs w:val="32"/>
        </w:rPr>
        <w:t>办法由杭州保护中心负责解释。本办法自</w:t>
      </w:r>
      <w:r>
        <w:rPr>
          <w:rFonts w:hint="eastAsia" w:ascii="仿宋_GB2312" w:hAnsi="仿宋_GB2312" w:eastAsia="仿宋_GB2312" w:cs="仿宋_GB2312"/>
          <w:b w:val="0"/>
          <w:bCs w:val="0"/>
          <w:spacing w:val="5"/>
          <w:sz w:val="32"/>
          <w:szCs w:val="32"/>
          <w:lang w:val="en-US" w:eastAsia="zh-CN"/>
        </w:rPr>
        <w:t>2025年10月1日</w:t>
      </w:r>
      <w:r>
        <w:rPr>
          <w:rFonts w:hint="eastAsia" w:ascii="仿宋_GB2312" w:hAnsi="仿宋_GB2312" w:eastAsia="仿宋_GB2312" w:cs="仿宋_GB2312"/>
          <w:b w:val="0"/>
          <w:bCs w:val="0"/>
          <w:spacing w:val="-7"/>
          <w:sz w:val="32"/>
          <w:szCs w:val="32"/>
        </w:rPr>
        <w:t>起施行。</w:t>
      </w:r>
    </w:p>
    <w:p>
      <w:pPr>
        <w:widowControl w:val="0"/>
        <w:kinsoku/>
        <w:spacing w:line="560" w:lineRule="exact"/>
        <w:ind w:firstLine="0" w:firstLineChars="0"/>
        <w:jc w:val="both"/>
        <w:rPr>
          <w:rFonts w:hint="eastAsia" w:ascii="仿宋_GB2312" w:hAnsi="仿宋_GB2312" w:eastAsia="仿宋_GB2312" w:cs="仿宋_GB2312"/>
          <w:b w:val="0"/>
          <w:bCs w:val="0"/>
          <w:sz w:val="32"/>
          <w:szCs w:val="32"/>
        </w:rPr>
      </w:pPr>
    </w:p>
    <w:p>
      <w:pPr>
        <w:pStyle w:val="2"/>
        <w:widowControl w:val="0"/>
        <w:kinsoku/>
        <w:spacing w:before="0" w:line="560" w:lineRule="exact"/>
        <w:ind w:left="0" w:right="0" w:firstLine="3840" w:firstLineChars="1200"/>
        <w:jc w:val="both"/>
        <w:rPr>
          <w:rFonts w:hint="eastAsia" w:ascii="仿宋_GB2312" w:hAnsi="仿宋_GB2312" w:eastAsia="仿宋_GB2312" w:cs="仿宋_GB2312"/>
          <w:b w:val="0"/>
          <w:bCs w:val="0"/>
          <w:sz w:val="32"/>
          <w:szCs w:val="32"/>
        </w:rPr>
      </w:pPr>
      <w:bookmarkStart w:id="0" w:name="_GoBack"/>
      <w:bookmarkEnd w:id="0"/>
    </w:p>
    <w:sectPr>
      <w:pgSz w:w="11900" w:h="16840"/>
      <w:pgMar w:top="1431" w:right="1729" w:bottom="1247" w:left="172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00000001" w:usb1="0800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YTZkMjhjM2MwMTNiNDE1NzYzMGEyYmE4ZGU1MmQ3MmEifQ=="/>
    <w:docVar w:name="KSO_WPS_MARK_KEY" w:val="5ebc6136-ea19-46e4-b9cf-5c2ee31717d8"/>
  </w:docVars>
  <w:rsids>
    <w:rsidRoot w:val="00000000"/>
    <w:rsid w:val="0A3B7763"/>
    <w:rsid w:val="12D11C07"/>
    <w:rsid w:val="1AEB457B"/>
    <w:rsid w:val="1DF150FA"/>
    <w:rsid w:val="1F402763"/>
    <w:rsid w:val="203C098B"/>
    <w:rsid w:val="20FE5CB3"/>
    <w:rsid w:val="251565FB"/>
    <w:rsid w:val="28F64EC4"/>
    <w:rsid w:val="33A361F5"/>
    <w:rsid w:val="34F36D08"/>
    <w:rsid w:val="36FF76E7"/>
    <w:rsid w:val="38664F92"/>
    <w:rsid w:val="3A324C2C"/>
    <w:rsid w:val="43D67F21"/>
    <w:rsid w:val="467471CB"/>
    <w:rsid w:val="4F791BD4"/>
    <w:rsid w:val="53AE6D83"/>
    <w:rsid w:val="544E3004"/>
    <w:rsid w:val="54526EAF"/>
    <w:rsid w:val="5A315A59"/>
    <w:rsid w:val="5BD54A60"/>
    <w:rsid w:val="5E311551"/>
    <w:rsid w:val="652C12F7"/>
    <w:rsid w:val="659A23BE"/>
    <w:rsid w:val="6A521800"/>
    <w:rsid w:val="6A5C024C"/>
    <w:rsid w:val="6F6E65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2"/>
      <w:szCs w:val="32"/>
      <w:lang w:val="en-US" w:eastAsia="en-US" w:bidi="ar-SA"/>
    </w:rPr>
  </w:style>
  <w:style w:type="paragraph" w:styleId="3">
    <w:name w:val="Normal (Web)"/>
    <w:basedOn w:val="1"/>
    <w:qFormat/>
    <w:uiPriority w:val="0"/>
    <w:pPr>
      <w:spacing w:before="100" w:beforeAutospacing="1" w:after="100" w:afterAutospacing="1"/>
      <w:ind w:left="0" w:right="0"/>
      <w:jc w:val="left"/>
    </w:pPr>
    <w:rPr>
      <w:rFonts w:ascii="Calibri" w:hAnsi="Calibri" w:eastAsia="宋体" w:cs="Times New Roman"/>
      <w:kern w:val="0"/>
      <w:sz w:val="18"/>
      <w:szCs w:val="18"/>
      <w:lang w:val="en-US" w:eastAsia="zh-CN" w:bidi="ar"/>
    </w:rPr>
  </w:style>
  <w:style w:type="character" w:styleId="6">
    <w:name w:val="Strong"/>
    <w:basedOn w:val="5"/>
    <w:qFormat/>
    <w:uiPriority w:val="0"/>
    <w:rPr>
      <w:b/>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3043</Words>
  <Characters>3073</Characters>
  <TotalTime>27</TotalTime>
  <ScaleCrop>false</ScaleCrop>
  <LinksUpToDate>false</LinksUpToDate>
  <CharactersWithSpaces>3091</CharactersWithSpaces>
  <Application>WPS Office_11.1.0.15320_F1E327BC-269C-435d-A152-05C5408002CA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2024-10-22T09:44:00Z</dcterms:created>
  <dc:creator>Kingsoft-PDF</dc:creator>
  <cp:lastModifiedBy>Kefeng</cp:lastModifiedBy>
  <cp:lastPrinted>2025-09-23T02:32:00Z</cp:lastPrinted>
  <dcterms:modified xsi:type="dcterms:W3CDTF">2025-09-28T09:11:47Z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2024-10-22T09:44:51Z</vt:filetime>
  </property>
  <property fmtid="{D5CDD505-2E9C-101B-9397-08002B2CF9AE}" pid="4" name="UsrData">
    <vt:lpwstr>67170390e7e5c300204ea2ccwl</vt:lpwstr>
  </property>
  <property fmtid="{D5CDD505-2E9C-101B-9397-08002B2CF9AE}" pid="5" name="KSOProductBuildVer">
    <vt:lpwstr>2052-11.1.0.15320</vt:lpwstr>
  </property>
  <property fmtid="{D5CDD505-2E9C-101B-9397-08002B2CF9AE}" pid="6" name="ICV">
    <vt:lpwstr>18D9E09BC5C84CE6B18096834CFEB680_13</vt:lpwstr>
  </property>
  <property fmtid="{D5CDD505-2E9C-101B-9397-08002B2CF9AE}" pid="7" name="KSOTemplateDocerSaveRecord">
    <vt:lpwstr>eyJoZGlkIjoiYWM3YjU4NGYwYzYwYTlmMDY2M2E4ZDM0NmQyMmQ5ODQiLCJ1c2VySWQiOiI3NTU3OTM4ODgifQ==</vt:lpwstr>
  </property>
</Properties>
</file>