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V1.3.1.6，共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Agent”后才开始。扫描范围限于系统应用目录、常见用户安装目录和已配置命令位置；不读取项目正文、客户资料、聊天记录或用户文档。正式平台扫描只识别 WorkBuddy。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选择产物。 </w:t>
      </w:r>
      <w:r>
        <w:rPr>
          <w:rFonts w:ascii="Arial Unicode MS" w:hAnsi="Arial Unicode MS" w:eastAsia="Arial Unicode MS" w:cs="Arial Unicode MS"/>
          <w:color w:val="17212B"/>
          <w:sz w:val="22"/>
        </w:rPr>
        <w:t>根据宿主能力选择通用版或 WorkBuddy 跨平台版。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两个正式产物的当前动作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通用版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标准 Skills 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下载并验签通用 Skills 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按宿主标准入口导入并新建会话复验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ZIP。V1.3.1.6 在签名 plugin.json 中内联声明 jiaotang-kb，不依赖插件根目录 .mcp.json，也不写用户级、项目级或全局 MCP 配置。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位置，安全解压完整 jiaotang 市场。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持久保存。 </w:t>
      </w:r>
      <w:r>
        <w:rPr>
          <w:rFonts w:ascii="Arial Unicode MS" w:hAnsi="Arial Unicode MS" w:eastAsia="Arial Unicode MS" w:cs="Arial Unicode MS"/>
          <w:color w:val="17212B"/>
          <w:sz w:val="22"/>
        </w:rPr>
        <w:t>将完整市场保存到当前 WorkBuddy 实际用户目录的 plugins/marketplaces/jiaotang，不使用临时下载或临时解压目录。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插件市场添加上述持久 jiaotang 目录；安装后不得清理该目录。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检查连接。 </w:t>
      </w:r>
      <w:r>
        <w:rPr>
          <w:rFonts w:ascii="Arial Unicode MS" w:hAnsi="Arial Unicode MS" w:eastAsia="Arial Unicode MS" w:cs="Arial Unicode MS"/>
          <w:color w:val="17212B"/>
          <w:sz w:val="22"/>
        </w:rPr>
        <w:t>让 Agent 检查知识库连接状态，确认 MCP 工具列表可见，并成功调用任一只读状态或检索工具。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连接成功后再安装 OCR、PDF、Word、PPT、Excel 和联网检索 Skills；确认插件启用且 49 项可见。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&lt;持久保存的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V1.3.1.6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通用版下载、解压和导入计划没有未处理冲突；导入后新建会话能识别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V1.3.1.6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