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A3E44E">
      <w:pPr>
        <w:pStyle w:val="2"/>
        <w:bidi w:val="0"/>
        <w:jc w:val="center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企业全生命周期助手用户使用手册</w:t>
      </w:r>
    </w:p>
    <w:p w14:paraId="120C37C3">
      <w:pPr>
        <w:pStyle w:val="6"/>
        <w:keepNext w:val="0"/>
        <w:keepLines w:val="0"/>
        <w:widowControl/>
        <w:suppressLineNumbers w:val="0"/>
        <w:ind w:left="720" w:right="720"/>
        <w:jc w:val="center"/>
        <w:rPr>
          <w:rFonts w:hint="eastAsia" w:asciiTheme="majorEastAsia" w:hAnsiTheme="majorEastAsia" w:eastAsiaTheme="majorEastAsia" w:cstheme="majorEastAsia"/>
          <w:lang w:val="en-US"/>
        </w:rPr>
      </w:pPr>
      <w:r>
        <w:rPr>
          <w:rStyle w:val="9"/>
          <w:rFonts w:hint="eastAsia" w:asciiTheme="majorEastAsia" w:hAnsiTheme="majorEastAsia" w:eastAsiaTheme="majorEastAsia" w:cstheme="majorEastAsia"/>
          <w:sz w:val="24"/>
          <w:szCs w:val="24"/>
        </w:rPr>
        <w:t>一个懂政策、税务、法律和专利的企业专业服务 Agent</w:t>
      </w:r>
    </w:p>
    <w:p w14:paraId="05B814DF">
      <w:pPr>
        <w:keepNext/>
        <w:bidi w:val="0"/>
        <w:spacing w:before="200" w:after="200"/>
        <w:jc w:val="center"/>
        <w:rPr>
          <w:rFonts w:hint="default" w:asciiTheme="majorEastAsia" w:hAnsiTheme="majorEastAsia" w:eastAsiaTheme="majorEastAsia" w:cstheme="majorEastAsia"/>
          <w:lang w:val="en-US"/>
        </w:rPr>
      </w:pPr>
      <w:r>
        <w:rPr>
          <w:rFonts w:hint="eastAsia" w:asciiTheme="majorEastAsia" w:hAnsiTheme="majorEastAsia" w:eastAsiaTheme="majorEastAsia" w:cstheme="majorEastAsia"/>
          <w:b/>
          <w:sz w:val="32"/>
        </w:rPr>
        <w:t>适用版本：V1.3.1.2</w:t>
      </w:r>
    </w:p>
    <w:p w14:paraId="15806C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本手册面向共创团队成员。企业全生命周期助手由49个平台无关Skills、团队云端知识库、REST API和MCP组成，可导入支持Skills的Agent使用。</w:t>
      </w:r>
    </w:p>
    <w:p>
      <w:r>
        <w:t>本版本更新：修复 WorkBuddy Windows 安装卡住问题，并增加 bootstrap_url 一键复制。</w:t>
      </w:r>
    </w:p>
    <w:p>
      <w:r>
        <w:t>能力变化：Windows 用户解压签名包后可直接双击 .cmd；安装器会在调用插件 CLI 前检查并等待 WorkBuddy 完全退出，避免本地端口冲突导致无输出卡住；API 与用户页、Skills 管理中心的手工配置确认按钮会生成并复制一次性 bootstrap_url；浏览器拒绝剪贴板权限时保留下方手工复制兜底；本次只发布 WorkBuddy Windows 包；macOS 继续使用 V1.3.1.1，通用 Skills 继续使用最近一次正式版本，49 项技能内容不变。</w:t>
      </w:r>
    </w:p>
    <w:p>
      <w:r>
        <w:t>通用安装：支持 SKILL.md 的 Agent 使用通用 Skills 包，导入 skills 目录后启动首次配置向导。</w:t>
      </w:r>
    </w:p>
    <w:p>
      <w:r>
        <w:t>WorkBuddy 安装：Windows 用户解压 V1.3.1.2 签名包并直接双击 install-jiaotang-workbuddy.cmd；macOS 用户继续使用 V1.3.1.1，无需更新。</w:t>
      </w:r>
    </w:p>
    <w:p>
      <w:r>
        <w:t>手工接入：从 API 与用户页或 Skills 管理中心完成公开说明审查后，点击生成并复制 bootstrap_url，再粘贴到 WorkBuddy 插件敏感配置。</w:t>
      </w:r>
    </w:p>
    <w:p>
      <w:r>
        <w:t>安装验收：安装后必须核对技能清单，并完成身份、检索、文档读取、用量和 MCP 工具调用验收。</w:t>
      </w:r>
    </w:p>
    <w:p>
      <w:r>
        <w:t>兼容性：通用 Skills：已验证，适用于能够导入 SKILL.md 的 Agent；macOS WorkBuddy：保持 V1.3.1.1，本次未修改 macOS 包，不要求更新；原有安装、设备绑定、系统凭据和 MCP 接入继续有效；Windows WorkBuddy：热修复，已完成安装器契约、安全、完整性和端口冲突保护检查；真实 Windows 宿主安装仍需发布后按五步流程复验。</w:t>
      </w:r>
    </w:p>
    <w:p>
      <w:r>
        <w:t>回滚：通用 Skills 回滚时恢复上一版本 skills 目录，并重新运行安装完整性检查；Windows WorkBuddy 回滚时执行安装计划展示的撤销命令，再安装 V1.3.1.1；macOS 无需回滚；回滚不得覆盖个人项目资料、本地政策规则、个人偏好或系统凭据。</w:t>
      </w:r>
    </w:p>
    <w:p w14:paraId="5D0C970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自助注册</w:t>
      </w:r>
    </w:p>
    <w:p w14:paraId="757E5BEF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1.打开团队网站，进入“注册账号”。</w:t>
      </w:r>
    </w:p>
    <w:p w14:paraId="043D8496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2.填写英文登录账号。账号长度为3至32位，可包含数字、点、下划线和连字符。</w:t>
      </w:r>
    </w:p>
    <w:p w14:paraId="740304CB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3.填写中文真实姓名。</w:t>
      </w:r>
    </w:p>
    <w:p w14:paraId="7C5F43FC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4.填写企业微信绑定手机号后四位。同名成员使用手机号后四位区分。</w:t>
      </w:r>
    </w:p>
    <w:p w14:paraId="41629AB4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5.输入公司全称`共创集团`完成团队验证。</w:t>
      </w:r>
    </w:p>
    <w:p w14:paraId="70667B33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6.设置不少于9位的登录密码并提交。</w:t>
      </w:r>
    </w:p>
    <w:p w14:paraId="65F46B4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登录</w:t>
      </w:r>
    </w:p>
    <w:p w14:paraId="0E43F568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使用英文账号和密码登录。</w:t>
      </w:r>
    </w:p>
    <w:p w14:paraId="02094F9A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私人设备可勾选“七天自动登录”；公共电脑不建议勾选。</w:t>
      </w:r>
    </w:p>
    <w:p w14:paraId="3729D26E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登录后显示中文真实姓名，右上角菜单可进入账号安全或退出登录。</w:t>
      </w:r>
    </w:p>
    <w:p w14:paraId="417E847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下载与安装及使用方法</w:t>
      </w:r>
    </w:p>
    <w:p w14:paraId="6F5ABC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安装Skills</w:t>
      </w:r>
    </w:p>
    <w:p w14:paraId="26C28EB1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登录网站，进入“Skills中心”，点击“选择安装平台”。</w:t>
      </w:r>
    </w:p>
    <w:p w14:paraId="6A598F02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按宿主下载V1.3.1.2通用Skills ZIP或V1.3.1.2 WorkBuddy插件ZIP。</w:t>
      </w:r>
    </w:p>
    <w:p w14:paraId="6958F0A3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两种安装包的业务能力相同，不要重复安装。支持SKILL.md的Agent使用通用包；WorkBuddy用户使用插件包及随包一键安装器，并在安装前核对来源、SHA-256和撤销说明。</w:t>
      </w:r>
    </w:p>
    <w:p w14:paraId="32767ABE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将`skills`文件夹拖入或导入当前Agent的Skills目录或工作区。</w:t>
      </w:r>
    </w:p>
    <w:p w14:paraId="216B7902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在Agent中输入：</w:t>
      </w:r>
    </w:p>
    <w:p w14:paraId="528D80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  <w:lang w:eastAsia="zh-CN"/>
        </w:rPr>
      </w:pPr>
      <w:r>
        <w:rPr>
          <w:rFonts w:hint="eastAsia" w:asciiTheme="majorEastAsia" w:hAnsiTheme="majorEastAsia" w:eastAsiaTheme="majorEastAsia" w:cstheme="majorEastAsia"/>
          <w:lang w:eastAsia="zh-CN"/>
        </w:rPr>
        <w:t>“请检查企业全生命周期助手是否安装完整，并启动首次配置向导。”</w:t>
      </w:r>
    </w:p>
    <w:p w14:paraId="6E84E1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若宿主不能直接识别`SKILL.md`，使用该平台自己的Skill导入或转换能力。</w:t>
      </w:r>
    </w:p>
    <w:p w14:paraId="55B63F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首次安装后再输入：</w:t>
      </w:r>
    </w:p>
    <w:p w14:paraId="5EB1B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lang w:eastAsia="zh-CN"/>
        </w:rPr>
        <w:t>“</w:t>
      </w:r>
      <w:r>
        <w:rPr>
          <w:rFonts w:hint="eastAsia" w:asciiTheme="majorEastAsia" w:hAnsiTheme="majorEastAsia" w:eastAsiaTheme="majorEastAsia" w:cstheme="majorEastAsia"/>
        </w:rPr>
        <w:t>帮我安装OCR、PDF、Word、PPT、Excel和联网检索这几个Skills</w:t>
      </w:r>
      <w:r>
        <w:rPr>
          <w:rFonts w:hint="eastAsia" w:asciiTheme="majorEastAsia" w:hAnsiTheme="majorEastAsia" w:eastAsiaTheme="majorEastAsia" w:cstheme="majorEastAsia"/>
          <w:lang w:eastAsia="zh-CN"/>
        </w:rPr>
        <w:t>”</w:t>
      </w:r>
    </w:p>
    <w:p w14:paraId="02C997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通用文档、OCR和联网能力由宿主Agent提供，不在企业全生命周期助手中重复打包。</w:t>
      </w:r>
    </w:p>
    <w:p w14:paraId="13DD1F9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连接团队知识库</w:t>
      </w:r>
    </w:p>
    <w:p w14:paraId="7E009DA8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登录网站，进入“连接我的Agent”。</w:t>
      </w:r>
    </w:p>
    <w:p w14:paraId="3B30F23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点击“复制给Agent”，将网站生成的完整接入内容复制到当前本地Agent。</w:t>
      </w:r>
    </w:p>
    <w:p w14:paraId="4C824DBB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普通成员无需查看、保存或转发个人API Key、设备私钥和MCP请求头；接入内容只交给本人的本地Agent处理。</w:t>
      </w:r>
    </w:p>
    <w:p w14:paraId="40991E96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将完整接入内容粘贴到Agent对话框，并要求运行`first-run-configuration`首次配置向导。</w:t>
      </w:r>
    </w:p>
    <w:p w14:paraId="3FD069D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Agent应自动完成设备登记、身份验证、REST连接、MCP工具列表和非敏感关键词检索。</w:t>
      </w:r>
    </w:p>
    <w:p w14:paraId="135D2D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个人知识库凭据不是模型API Key。普通成员同一账号同时绑定一台设备；换机时先在门户执行“更换绑定设备”，再把新的配置交给新设备Agent。凭据返回401时重新复制完整接入内容并执行五步验收。</w:t>
      </w:r>
    </w:p>
    <w:p w14:paraId="764515B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完整验收</w:t>
      </w:r>
    </w:p>
    <w:p w14:paraId="78525B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可让Agent按以下顺序执行，不必把凭据发给管理员：</w:t>
      </w:r>
    </w:p>
    <w:p w14:paraId="63082964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1.`GET/v1/me`：返回当前英文登录账号。</w:t>
      </w:r>
    </w:p>
    <w:p w14:paraId="3737F4B4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2.`POST/v1/search`：检索一个非敏感公开关键词。</w:t>
      </w:r>
    </w:p>
    <w:p w14:paraId="6958C1A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3.`GET/v1/documents/{id}`：读取上一步命中的文档。</w:t>
      </w:r>
    </w:p>
    <w:p w14:paraId="3CF8907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4.`GET/v1/usage`：返回当前用户调用记录。</w:t>
      </w:r>
    </w:p>
    <w:p w14:paraId="38270E7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5.MCP初始化并读取工具列表，再调用知识服务状态或知识检索工具。</w:t>
      </w:r>
    </w:p>
    <w:p w14:paraId="0037C5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五步全部成功才算REST与MCP完整端到端验收通过。仅打开网站或仅返回401不算通过。</w:t>
      </w:r>
    </w:p>
    <w:p w14:paraId="631ABC9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可选外部能力</w:t>
      </w:r>
    </w:p>
    <w:p w14:paraId="47153BC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</w:rPr>
        <w:t>企查查：增强工商、股权、风险和知识产权画像。通过网站保留的供应商入口注册，并按供应商说明配置API或MCP。</w:t>
      </w:r>
    </w:p>
    <w:p w14:paraId="5186469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BigQuery Patents：增强全球专利批量检索、同族和引证分析，按Google Cloud官方说明完成账号、项目和MCP配置。</w:t>
      </w:r>
    </w:p>
    <w:p w14:paraId="47B9B125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所有外部能力由统一首次配置向导检测，避免每个Skill重复配置。</w:t>
      </w:r>
    </w:p>
    <w:p w14:paraId="4D95102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能力边界</w:t>
      </w:r>
    </w:p>
    <w:p w14:paraId="652029B1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覆盖政府项目检索、匹配、体检、材料编写、高企申请书、企业分析、专利、法律法规、制造业财税风险和交付归档，但不承诺一定符合或一定获批。</w:t>
      </w:r>
    </w:p>
    <w:p w14:paraId="44CA0423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政策结论必须区分规则层、动态层和官方原文，并核验现行、历史、废止、替代依据及当期通知。</w:t>
      </w:r>
    </w:p>
    <w:p w14:paraId="42A71945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云端知识库由管理员统一上传、修改、删除和重建索引；成员的地区政策增改删保存在本人本地工作区，不写入云端。</w:t>
      </w:r>
    </w:p>
    <w:p w14:paraId="69C368CD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无可靠数据时不推算企业财务，不以第三方过期数据替代客户材料。</w:t>
      </w:r>
    </w:p>
    <w:p w14:paraId="62EA4877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审中专利不能作为授权成果使用；专利任务必须区分有效授权、审中、失效和转让取得。</w:t>
      </w:r>
    </w:p>
    <w:p w14:paraId="7C9B370F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专利检索、FTO和侵权预警属于初筛，不替代专利代理师或律师的正式意见。</w:t>
      </w:r>
    </w:p>
    <w:p w14:paraId="2A79A84F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法律Skill可做法规检索、效力核验、公司法与项目合规自查，不替代执业律师针对具体交易、争议或诉讼出具的法律意见。</w:t>
      </w:r>
    </w:p>
    <w:p w14:paraId="2A2B8A5B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OCR结果不是天然准确，企业名称、名单序号、金额、日期和表格列必须抽样复核。</w:t>
      </w:r>
    </w:p>
    <w:p w14:paraId="58EDB399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当前检索层未命中只能说明“未命中”，不能据此断言资料或项目不存在。</w:t>
      </w:r>
    </w:p>
    <w:p w14:paraId="1F6C84B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常用指令</w:t>
      </w:r>
    </w:p>
    <w:p w14:paraId="37CB401A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安装与连接</w:t>
      </w:r>
      <w:r>
        <w:rPr>
          <w:rFonts w:hint="eastAsia" w:asciiTheme="majorEastAsia" w:hAnsiTheme="majorEastAsia" w:eastAsiaTheme="majorEastAsia" w:cstheme="majorEastAsia"/>
          <w:b/>
          <w:bCs/>
          <w:lang w:val="en-US" w:eastAsia="zh-CN"/>
        </w:rPr>
        <w:t>:</w:t>
      </w:r>
    </w:p>
    <w:p w14:paraId="6190EB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“请检查企业全生命周期助手是否安装完整，并启动首次配置向导。”</w:t>
      </w:r>
    </w:p>
    <w:p w14:paraId="2F5124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“请测试团队知识库RESTAPI和MCP是否完整可用，并逐步报告/v1/me、检索、文档读取、用量和MCP工具调用结果。”</w:t>
      </w:r>
    </w:p>
    <w:p w14:paraId="67C1F98A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  <w:i w:val="0"/>
          <w:iCs w:val="0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</w:rPr>
        <w:t>企业与项目</w:t>
      </w:r>
    </w:p>
    <w:p w14:paraId="2C6849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“帮我出具这家企业全景分析报告，先列事实来源，再给风险和合作建议。”</w:t>
      </w:r>
    </w:p>
    <w:p w14:paraId="4747C5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“分析这家企业目前能申报哪些政府项目，按国家、省、市、区县分层，并给出未来五年规划。”</w:t>
      </w:r>
    </w:p>
    <w:p w14:paraId="12C5F4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“这家企业想申报研究院，请核验当前项目名称、现行政策、申报条件、差距和材料清单。”</w:t>
      </w:r>
    </w:p>
    <w:p w14:paraId="0ACDE6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“查询这家企业同行中有哪些专精特新或小巨人企业，列出名单序号、批次、地区和原始来源。”</w:t>
      </w:r>
    </w:p>
    <w:p w14:paraId="33B302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“请对这家企业做高企申报前评估，比较今年与明年的硬门槛、成长性、三档评分和补强计划。”</w:t>
      </w:r>
    </w:p>
    <w:p w14:paraId="5261D6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“请先生成专</w:t>
      </w:r>
      <w:bookmarkStart w:id="0" w:name="_GoBack"/>
      <w:bookmarkEnd w:id="0"/>
      <w:r>
        <w:rPr>
          <w:rFonts w:hint="eastAsia" w:asciiTheme="majorEastAsia" w:hAnsiTheme="majorEastAsia" w:eastAsiaTheme="majorEastAsia" w:cstheme="majorEastAsia"/>
        </w:rPr>
        <w:t>精特新或小巨人申报前评分用的三年财务底表，待我回传并确认项目版本后再评分。”</w:t>
      </w:r>
    </w:p>
    <w:p w14:paraId="2264041D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高新技术企业认定</w:t>
      </w:r>
    </w:p>
    <w:p w14:paraId="27AB27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</w:rPr>
        <w:t>“请按V1.3.1.2空白母版，使用我提供的企业、RD、知识产权、成果转化和PS资料撰写并回填高企申请书；缺失数据保留待核定，不得补造。”</w:t>
      </w:r>
    </w:p>
    <w:p w14:paraId="456FC0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</w:rPr>
        <w:t>“请核稿这份高企申请书，检查RD、PS、技术领域、知识产权、成果转化、格式、占位符和逐页版式，并列出待企业确认事项。”</w:t>
      </w:r>
    </w:p>
    <w:p w14:paraId="3B658A1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专精特新和小巨人</w:t>
      </w:r>
    </w:p>
    <w:p w14:paraId="3DAF76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“请先识别并让我确认申请书项目类型和版本，再体检这份材料。”</w:t>
      </w:r>
    </w:p>
    <w:p w14:paraId="0BE5EA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“按现行优质中小企业梯度培育管理办法，分析企业差距，并对主导产品、补短板、填空白、国产替代分别给出保留、替换或补证后保留结论。”</w:t>
      </w:r>
    </w:p>
    <w:p w14:paraId="27274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“严格按照包内产业链架构和工业六基目录匹配主导产品；没有直接分类时，给一个相似分类和一个分析判断分类。”</w:t>
      </w:r>
    </w:p>
    <w:p w14:paraId="67FEBB40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专利</w:t>
      </w:r>
    </w:p>
    <w:p w14:paraId="6045BC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“根据现有资料和项目要求，为这家企业规划10个专利方向，并说明每个方向与产品、技术问题和项目指标的关系。”</w:t>
      </w:r>
    </w:p>
    <w:p w14:paraId="03CA5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“对这项产品做FTO初筛，区分公开文本、授权文本和法律状态，并列出仍需人工核验的权利要求。”</w:t>
      </w:r>
    </w:p>
    <w:p w14:paraId="7DF8E2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“审查这份专利交底书或申请文件，检查权利要求依附关系、保护范围、支持性和提交前风险。”</w:t>
      </w:r>
    </w:p>
    <w:p w14:paraId="6F01910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法律与财税</w:t>
      </w:r>
    </w:p>
    <w:p w14:paraId="5A515F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“帮我排查这么做的法律风险，按事实、适用法规、风险等级、补证材料和整改动作输出。”</w:t>
      </w:r>
    </w:p>
    <w:p w14:paraId="743D2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“按新公司法为这家企业做合规自查，重点检查出资、章程、治理、关联交易、股权转让、减资和清算风险。”</w:t>
      </w:r>
    </w:p>
    <w:p w14:paraId="3D934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“帮我出具这家企业金税四期分析报告，复算近三年财务指标，区分已证实风险和待补证信号。”</w:t>
      </w:r>
    </w:p>
    <w:p w14:paraId="4CFF864D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政策版本与材料审查</w:t>
      </w:r>
    </w:p>
    <w:p w14:paraId="5F185B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“核验这个政策是否仍然有效；如已废止，给出废止或替代依据、新项目名称、现行条件和官方原文。”</w:t>
      </w:r>
    </w:p>
    <w:p w14:paraId="30ABF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“帮我体检这份申报材料，检查数字、事实、主导产品、知识产权和章节之间的一致性。”</w:t>
      </w:r>
    </w:p>
    <w:p w14:paraId="24E1D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“对比这两个版本的申报材料，列出数据变化、表述升级、遗漏和新增风险。”</w:t>
      </w:r>
    </w:p>
    <w:p w14:paraId="3454101E">
      <w:pPr>
        <w:keepNext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更新与问题处理</w:t>
      </w:r>
    </w:p>
    <w:p w14:paraId="30611D22">
      <w:pPr>
        <w:keepNext w:val="0"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</w:rPr>
        <w:t>V1.3.1.2包含49个Skills，新增高企申请书撰写、扩表、回填与核稿能力。</w:t>
      </w:r>
    </w:p>
    <w:p w14:paraId="3C7976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网站“Skills中心”显示最新版、发布时间、更新说明和安装平台。</w:t>
      </w:r>
    </w:p>
    <w:p w14:paraId="1828BD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升级时运行首次配置向导的继承工具。新版官方核心、个人覆盖层和云端偏好分别继承，旧文件进入可恢复备份，不直接覆盖个人项目资料。</w:t>
      </w:r>
    </w:p>
    <w:p w14:paraId="58D0A2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出现401：检查个人凭据是否完整、是否已被吊销，再重新生成并执行五步验收。</w:t>
      </w:r>
    </w:p>
    <w:p w14:paraId="56DC13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知识库未命中：确认地区、年度、项目别名和政策版本，再请求官方联网核验。</w:t>
      </w:r>
    </w:p>
    <w:p w14:paraId="69274C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文档无法解析：先使用宿主OCR或文档能力转换为可检索PDF或Markdown，再由管理员上传。</w:t>
      </w:r>
    </w:p>
    <w:sectPr>
      <w:headerReference w:type="default" r:id="rId6"/>
      <w:headerReference w:type="first" r:id="rId7"/>
      <w:headerReference w:type="even" r:id="rId8"/>
      <w:pgSz w:w="11906" w:h="16838"/>
      <w:pgMar w:top="1080" w:right="1440" w:bottom="108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FZJingHeiS-R-GB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233773" cy="4233773"/>
          <wp:effectExtent l="0" t="0" r="0" b="0"/>
          <wp:wrapNone/>
          <wp:docPr id="1" name="Jiaotang Centered Watermark v3" descr="Jiaotang Centered Watermark v3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1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233773" cy="4233773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233773" cy="4233773"/>
          <wp:effectExtent l="0" t="0" r="0" b="0"/>
          <wp:wrapNone/>
          <wp:docPr id="1" name="Jiaotang Centered Watermark v3" descr="Jiaotang Centered Watermark v3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1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233773" cy="4233773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233773" cy="4233773"/>
          <wp:effectExtent l="0" t="0" r="0" b="0"/>
          <wp:wrapNone/>
          <wp:docPr id="1" name="Jiaotang Centered Watermark v3" descr="Jiaotang Centered Watermark v3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1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233773" cy="4233773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CB653D9"/>
    <w:multiLevelType w:val="singleLevel"/>
    <w:tmpl w:val="BCB653D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BFFC9D8E"/>
    <w:multiLevelType w:val="singleLevel"/>
    <w:tmpl w:val="BFFC9D8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DFAF837C"/>
    <w:multiLevelType w:val="singleLevel"/>
    <w:tmpl w:val="DFAF837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E73AC175"/>
    <w:multiLevelType w:val="singleLevel"/>
    <w:tmpl w:val="E73AC17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F6D22D10"/>
    <w:multiLevelType w:val="singleLevel"/>
    <w:tmpl w:val="F6D22D1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FFBF3278"/>
    <w:multiLevelType w:val="singleLevel"/>
    <w:tmpl w:val="FFBF327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FFFE805C"/>
    <w:multiLevelType w:val="singleLevel"/>
    <w:tmpl w:val="FFFE805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799F99B4"/>
    <w:multiLevelType w:val="singleLevel"/>
    <w:tmpl w:val="799F99B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7C7E9093"/>
    <w:multiLevelType w:val="singleLevel"/>
    <w:tmpl w:val="7C7E909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4"/>
  </w:num>
  <w:num w:numId="5">
    <w:abstractNumId w:val="6"/>
  </w:num>
  <w:num w:numId="6">
    <w:abstractNumId w:val="7"/>
  </w:num>
  <w:num w:numId="7">
    <w:abstractNumId w:val="1"/>
  </w:num>
  <w:num w:numId="8">
    <w:abstractNumId w:val="8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CFFC018"/>
    <w:rsid w:val="37E64585"/>
    <w:rsid w:val="7F7FAA66"/>
    <w:rsid w:val="9C7F8B88"/>
    <w:rsid w:val="DCFFC018"/>
    <w:rsid w:val="FF8EA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ascii="FZJingHeiS-R-GB" w:hAnsi="FZJingHeiS-R-GB" w:eastAsia="FZJingHeiS-R-GB" w:cs="FZJingHeiS-R-GB"/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FZJingHeiS-R-GB" w:hAnsi="FZJingHeiS-R-GB" w:eastAsia="FZJingHeiS-R-GB" w:cs="FZJingHeiS-R-GB"/>
      <w:b/>
      <w:sz w:val="32"/>
    </w:rPr>
  </w:style>
  <w:style w:type="character" w:default="1" w:styleId="8">
    <w:name w:val="Default Paragraph Font"/>
    <w:semiHidden/>
    <w:uiPriority w:val="0"/>
    <w:rPr>
      <w:rFonts w:ascii="FZJingHeiS-R-GB" w:hAnsi="FZJingHeiS-R-GB" w:eastAsia="FZJingHeiS-R-GB" w:cs="FZJingHeiS-R-GB"/>
    </w:rPr>
  </w:style>
  <w:style w:type="table" w:default="1" w:styleId="7">
    <w:name w:val="Normal Table"/>
    <w:semiHidden/>
    <w:uiPriority w:val="0"/>
    <w:rPr>
      <w:rFonts w:ascii="FZJingHeiS-R-GB" w:hAnsi="FZJingHeiS-R-GB" w:eastAsia="FZJingHeiS-R-GB" w:cs="FZJingHeiS-R-GB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rFonts w:ascii="FZJingHeiS-R-GB" w:hAnsi="FZJingHeiS-R-GB" w:eastAsia="FZJingHeiS-R-GB" w:cs="FZJingHeiS-R-GB"/>
      <w:sz w:val="18"/>
    </w:rPr>
  </w:style>
  <w:style w:type="paragraph" w:styleId="5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FZJingHeiS-R-GB" w:hAnsi="FZJingHeiS-R-GB" w:eastAsia="FZJingHeiS-R-GB" w:cs="FZJingHeiS-R-GB"/>
      <w:sz w:val="18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rFonts w:ascii="FZJingHeiS-R-GB" w:hAnsi="FZJingHeiS-R-GB" w:eastAsia="FZJingHeiS-R-GB" w:cs="FZJingHeiS-R-GB"/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rFonts w:ascii="FZJingHeiS-R-GB" w:hAnsi="FZJingHeiS-R-GB" w:eastAsia="FZJingHeiS-R-GB" w:cs="FZJingHeiS-R-GB"/>
      <w:b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49</TotalTime>
  <ScaleCrop>false</ScaleCrop>
  <LinksUpToDate>false</LinksUpToDate>
  <CharactersWithSpaces>0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2026-07-23T01:37:00Z</dcterms:created>
  <dc:creator>盏盏</dc:creator>
  <dc:description>适用版本V1.3.1；49个Skills</dc:description>
  <cp:lastModifiedBy>盏盏</cp:lastModifiedBy>
  <dcterms:modified xsi:type="dcterms:W3CDTF">2026-07-27T13:04:32Z</dcterms:modified>
  <dc:subject>V1.3.1用户使用手册</dc:subject>
  <dc:title>企业全生命周期助手用户使用手册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2052-12.1.26035.26035</vt:lpwstr>
  </property>
  <property fmtid="{D5CDD505-2E9C-101B-9397-08002B2CF9AE}" pid="3" name="ICV">
    <vt:lpwstr>407F431D355E9696DC3D5F6A73F39C95_41</vt:lpwstr>
  </property>
</Properties>
</file>