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首批次新材料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按当期目录、指南和表单判断申报档次；不在前期强迫用户选择国际、国内或省市层级。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材料产品和牌号确认 → 申报档次由表单选择 → 性能与批次稳定性验证 → 首次应用证明 → 专家评审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首批次新材料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申报材料属于当期支持领域并形成明确牌号、规格或产品边界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材料关键性能达到对应档次的技术要求或先进水平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已完成中试或规模化生产并具备批次稳定性资料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核心配方、工艺或结构拥有自主知识产权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检测、查新、用户试用或首次应用资料满足当期要求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销售、应用或保险补偿资料满足对应申报路径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新材料产品边界、关键性能、批次稳定性、首次应用及自主知识产权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可行性报告须说明材料、配方、工艺、终端应用性能之间的因果关系。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材料创新性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关键性能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批次稳定性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应用成熟度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产业化能力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牌号与产品标准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连续批次检测数据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中试及放大记录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用户试用与应用报告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专利、配方和工艺秘密管理资料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材料查新与性能检测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企业标准、团体标准或产品标准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材料查新与性能检测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企业标准、团体标准或产品标准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首批次新材料项目申报可行性分析报告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