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首批次新材料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按当期目录、指南和表单判断申报档次；不在前期强迫用户选择国际、国内或省市层级。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申报材料属于当期支持领域并形成明确牌号、规格或产品边界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材料关键性能达到对应档次的技术要求或先进水平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已完成中试或规模化生产并具备批次稳定性资料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核心配方、工艺或结构拥有自主知识产权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检测、查新、用户试用或首次应用资料满足当期要求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销售、应用或保险补偿资料满足对应申报路径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新材料产品边界、关键性能、批次稳定性、首次应用及自主知识产权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可行性报告须说明材料、配方、工艺、终端应用性能之间的因果关系。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材料产品和牌号确认 → 申报档次由表单选择 → 性能与批次稳定性验证 → 首次应用证明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首批次新材料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材料查新与性能检测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企业标准、团体标准或产品标准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牌号与产品标准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连续批次检测数据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中试及放大记录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用户试用与应用报告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专利、配方和工艺秘密管理资料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首批次新材料项目前期评估报告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