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绿色工厂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用户未说明层级时需确认国家、省级、市级或区县版本；指标年度和工厂边界必须统一。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确认国家、省市或区县版本 → 绿色制造评价边界 → 指标采集 → 第三方评价或自评价 → 推荐公示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绿色工厂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工厂主体、行业和建设运行年限符合当期申报范围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能源消耗、单位产品能耗及清洁能源使用数据可核算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水、原材料和包装等资源投入及利用效率数据可核算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主要产品生态设计、绿色属性或有害物质控制资料完整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污染物、温室气体和固体废物绩效数据满足评价要求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能源、环境、质量和职业健康等管理体系按当期要求运行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基础设施、管理体系、能源资源投入、产品、环境排放及绩效改进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前期报告只列能够量化和取证的绿色指标；可行性报告再按当期评价表逐项计分。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基础设施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管理体系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能源与资源投入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环境排放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综合绩效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厂区边界和建筑资料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能源资源台账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产量和单位产品指标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排放与固废数据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体系证书和运行记录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6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绿色改造项目资料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能源审计或碳盘查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绿色制造体系和节能降碳改造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绿色工厂项目申报可行性分析报告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