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专精特新中小企业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先确认申报省市及当期通知；认定与复核年度分别核对有效期和截止日期。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创新型中小企业评价 → 专精特新中小企业申报或复核 → 培育期补强 → 小巨人储备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专精特新中小企业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企业规模及行业范围符合中小企业划型和当期申报范围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从事特定细分市场年限满足现行评价或认定标准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上年度营业收入、研发费用金额及研发费用率满足适用路径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主导产品收入占营业收入比例满足现行专业化指标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专业化、精细化、特色化和创新能力评价达到现行分值要求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企业已完成创新型中小企业评价或满足当期通知规定的前置条件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专业化、精细化、特色化、创新能力及企业基础条件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前期报告保持清爽；可行性报告按当期评分表逐项计算，未核验的加分项只写待补强。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专业化指标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精细化指标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特色化指标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创新能力指标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主导产品收入专项口径表、合同发票和总账明细账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研发费用、人员、研发项目和成果转化资料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知识产权、标准、质量体系、产品认证和品牌资料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数字化系统、设备联网、数据应用和安全管理资料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数字化转型诊断报告：五个一级维度、全国与同行对标、优势短板及提升路径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PCT专利、制造业质量管理体系评价、CE等国际认证作为质量提升任务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数字化转型诊断报告：五个一级维度、全国与同行对标、优势短板及提升路径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PCT专利、制造业质量管理体系评价、CE等国际认证作为质量提升任务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专精特新中小企业项目申报可行性分析报告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