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专精特新中小企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确认申报省市及当期通知；认定与复核年度分别核对有效期和截止日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规模及行业范围符合中小企业划型和当期申报范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从事特定细分市场年限满足现行评价或认定标准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上年度营业收入、研发费用金额及研发费用率满足适用路径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占营业收入比例满足现行专业化指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化、精细化、特色化和创新能力评价达到现行分值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已完成创新型中小企业评价或满足当期通知规定的前置条件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专业化、精细化、特色化、创新能力及企业基础条件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报告保持清爽；可行性报告按当期评分表逐项计算，未核验的加分项只写待补强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创新型中小企业评价 → 专精特新中小企业申报或复核 → 培育期补强 → 小巨人储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精特新中小企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：五个一级维度、全国与同行对标、优势短板及提升路径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作为质量提升任务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主导产品收入专项口径表、合同发票和总账明细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费用、人员、研发项目和成果转化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知识产权、标准、质量体系、产品认证和品牌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数字化系统、设备联网、数据应用和安全管理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精特新中小企业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