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1240" w:after="360" w:line="264" w:lineRule="auto"/>
        <w:jc w:val="center"/>
      </w:pPr>
      <w:r>
        <w:rPr>
          <w:rFonts w:ascii="Calibri" w:hAnsi="Calibri" w:eastAsia="Hiragino Sans GB"/>
          <w:b/>
          <w:i w:val="0"/>
          <w:color w:val="A77C1D"/>
          <w:sz w:val="21"/>
        </w:rPr>
        <w:t>前期培育报告模板</w:t>
      </w:r>
    </w:p>
    <w:p>
      <w:pPr>
        <w:keepNext w:val="0"/>
        <w:widowControl/>
        <w:spacing w:before="0" w:after="200" w:line="264" w:lineRule="auto"/>
        <w:jc w:val="center"/>
      </w:pPr>
      <w:r>
        <w:rPr>
          <w:rFonts w:ascii="Calibri" w:hAnsi="Calibri" w:eastAsia="Hiragino Sans GB"/>
          <w:b/>
          <w:i w:val="0"/>
          <w:color w:val="203748"/>
          <w:sz w:val="52"/>
        </w:rPr>
        <w:t>〔企业完整名称〕</w:t>
      </w:r>
    </w:p>
    <w:p>
      <w:pPr>
        <w:keepNext w:val="0"/>
        <w:widowControl/>
        <w:spacing w:before="0" w:after="200" w:line="264" w:lineRule="auto"/>
        <w:jc w:val="center"/>
      </w:pPr>
      <w:r>
        <w:rPr>
          <w:rFonts w:ascii="Calibri" w:hAnsi="Calibri" w:eastAsia="Hiragino Sans GB"/>
          <w:b/>
          <w:i w:val="0"/>
          <w:color w:val="2E74B5"/>
          <w:sz w:val="42"/>
        </w:rPr>
        <w:t>专精特新“小巨人”前期培育报告</w:t>
      </w:r>
    </w:p>
    <w:p>
      <w:pPr>
        <w:keepNext w:val="0"/>
        <w:widowControl/>
        <w:spacing w:before="0" w:after="160" w:line="264" w:lineRule="auto"/>
        <w:jc w:val="center"/>
      </w:pPr>
      <w:r>
        <w:rPr>
          <w:rFonts w:ascii="Calibri" w:hAnsi="Calibri" w:eastAsia="Hiragino Sans GB"/>
          <w:b w:val="0"/>
          <w:i w:val="0"/>
          <w:color w:val="1F4D78"/>
          <w:sz w:val="27"/>
        </w:rPr>
        <w:t>方向卡优先｜政策评估后置｜成熟度单列</w:t>
      </w:r>
    </w:p>
    <w:p>
      <w:pPr>
        <w:keepNext w:val="0"/>
        <w:widowControl/>
        <w:spacing w:before="0" w:after="960" w:line="264" w:lineRule="auto"/>
        <w:jc w:val="center"/>
      </w:pPr>
      <w:r>
        <w:rPr>
          <w:rFonts w:ascii="Calibri" w:hAnsi="Calibri" w:eastAsia="Hiragino Sans GB"/>
          <w:b w:val="0"/>
          <w:i w:val="0"/>
          <w:color w:val="66737F"/>
          <w:sz w:val="21"/>
        </w:rPr>
        <w:t>目标申报年：〔年份〕｜政策依据年：〔年份〕｜编制日期：〔日期〕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2"/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i w:val="0"/>
                <w:color w:val="A77C1D"/>
                <w:sz w:val="22"/>
              </w:rPr>
              <w:t>固定工作顺序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20"/>
              </w:rPr>
              <w:t>先列企业现有方向、用户给定方向和建议新增方向；分别写好处、坏处、培育动作和专利布局；完成方向选择后，再进入政策门槛和申报成熟度。前期方向评估有资料就分析，没有资料的事项直接跳过。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r>
        <w:br w:type="page"/>
      </w:r>
    </w:p>
    <w:p>
      <w:pPr>
        <w:pStyle w:val="Heading1"/>
        <w:keepNext/>
      </w:pPr>
      <w:r>
        <w:t>模板使用说明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填写规则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企业现有方向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企业已经形成产品、业务或持续研发的方向，至少列一项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用户给定方向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客户或顾问明确提出的未来产品、技术或市场方向；没有则跳过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建议新增方向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基于企业能力提出的真实新产品建议；没有更优建议则跳过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方向卡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每个方向固定写方向名称、方向内容、好处、坏处、培育动作、专利布局和推荐角色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政策与成熟度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方向选择完成后再写，不能让证据缺失和附件清单淹没方向判断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方向总览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3300"/>
        <w:gridCol w:w="2640"/>
        <w:gridCol w:w="102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来源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方向名称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推荐角色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结论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7"/>
              </w:rPr>
              <w:t>方向一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企业现有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〔方向名称〕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〔近期主导产品、第二曲线或观察方向〕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〔优先、条件性或暂缓〕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7"/>
              </w:rPr>
              <w:t>方向二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用户给定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〔方向名称；没有则删除本行〕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〔角色〕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〔结论〕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7"/>
              </w:rPr>
              <w:t>方向三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建议新增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〔新产品方向；没有更优建议则删除本行〕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〔角色〕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〔结论〕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1"/>
        <w:keepNext/>
      </w:pPr>
      <w:r>
        <w:t>1 企业现有方向</w:t>
      </w:r>
    </w:p>
    <w:p>
      <w:pPr>
        <w:pStyle w:val="Heading2"/>
        <w:keepNext/>
      </w:pPr>
      <w:r>
        <w:t>1.1 方向名称与内容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i w:val="0"/>
                <w:color w:val="2E74B5"/>
                <w:sz w:val="22"/>
              </w:rPr>
              <w:t>〔方向名称〕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20"/>
              </w:rPr>
              <w:t>〔用一段话说明目标客户、核心问题、主要产品、关键技术和输出价值。不要使用覆盖多个不同行业的抽象技术母体。〕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1.2 好处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好处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具体判断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〔好处一〕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〔好处二〕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〔好处三〕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〔好处四〕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1.3 坏处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坏处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具体判断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〔坏处一〕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〔坏处二〕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〔坏处三〕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〔坏处四〕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1.4 应该怎么培育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培育项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建议动作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产品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〔产品命名、模块和版本安排〕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技术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〔关键技术链和差异化能力〕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场景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〔优先细分行业或业务环节〕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商业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〔交付方式和商业化安排〕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申报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〔该方向在申报中的角色〕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1.5 专利怎么做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540"/>
        <w:gridCol w:w="492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专利组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建议主题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保护重点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P1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P2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P3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P4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P5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P6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1"/>
        <w:keepNext/>
      </w:pPr>
      <w:r>
        <w:t>2 用户给定方向</w:t>
      </w:r>
    </w:p>
    <w:p>
      <w:pPr>
        <w:pStyle w:val="Heading2"/>
        <w:keepNext/>
      </w:pPr>
      <w:r>
        <w:t>2.1 方向名称与内容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i w:val="0"/>
                <w:color w:val="2E74B5"/>
                <w:sz w:val="22"/>
              </w:rPr>
              <w:t>〔方向名称〕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20"/>
              </w:rPr>
              <w:t>〔用一段话说明目标客户、核心问题、主要产品、关键技术和输出价值。不要使用覆盖多个不同行业的抽象技术母体。〕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2.2 好处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好处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具体判断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〔好处一〕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〔好处二〕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〔好处三〕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〔好处四〕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2.3 坏处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坏处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具体判断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〔坏处一〕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〔坏处二〕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〔坏处三〕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〔坏处四〕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2.4 应该怎么培育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培育项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建议动作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产品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〔产品命名、模块和版本安排〕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技术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〔关键技术链和差异化能力〕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场景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〔优先细分行业或业务环节〕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商业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〔交付方式和商业化安排〕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申报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〔该方向在申报中的角色〕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2.5 专利怎么做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540"/>
        <w:gridCol w:w="492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专利组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建议主题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保护重点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P1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P2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P3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P4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P5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P6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1"/>
        <w:keepNext/>
      </w:pPr>
      <w:r>
        <w:t>3 建议新增方向</w:t>
      </w:r>
    </w:p>
    <w:p>
      <w:pPr>
        <w:pStyle w:val="Heading2"/>
        <w:keepNext/>
      </w:pPr>
      <w:r>
        <w:t>3.1 方向名称与内容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i w:val="0"/>
                <w:color w:val="2E74B5"/>
                <w:sz w:val="22"/>
              </w:rPr>
              <w:t>〔方向名称〕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20"/>
              </w:rPr>
              <w:t>〔用一段话说明目标客户、核心问题、主要产品、关键技术和输出价值。不要使用覆盖多个不同行业的抽象技术母体。〕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3.2 好处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好处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具体判断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〔好处一〕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〔好处二〕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〔好处三〕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〔好处四〕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3.3 坏处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坏处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具体判断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〔坏处一〕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〔坏处二〕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〔坏处三〕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〔坏处四〕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〔具体说明〕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3.4 应该怎么培育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培育项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建议动作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产品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〔产品命名、模块和版本安排〕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技术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〔关键技术链和差异化能力〕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场景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〔优先细分行业或业务环节〕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商业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〔交付方式和商业化安排〕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申报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〔该方向在申报中的角色〕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3.5 专利怎么做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540"/>
        <w:gridCol w:w="492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专利组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建议主题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保护重点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P1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P2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P3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P4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P5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P6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〔专利主题〕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7"/>
              </w:rPr>
              <w:t>〔保护重点〕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1"/>
        <w:keepNext/>
      </w:pPr>
      <w:r>
        <w:t>4 方向比较与选择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0"/>
        <w:gridCol w:w="2440"/>
        <w:gridCol w:w="2440"/>
        <w:gridCol w:w="2440"/>
      </w:tblGrid>
      <w:tr>
        <w:trPr>
          <w:cantSplit/>
          <w:tblHeader w:val="true"/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比较项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方向一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方向二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方向三</w:t>
            </w:r>
          </w:p>
        </w:tc>
      </w:tr>
      <w:tr>
        <w:trPr>
          <w:cantSplit/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现有业务延续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</w:tr>
      <w:tr>
        <w:trPr>
          <w:cantSplit/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技术创新空间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</w:tr>
      <w:tr>
        <w:trPr>
          <w:cantSplit/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专利布局空间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</w:tr>
      <w:tr>
        <w:trPr>
          <w:cantSplit/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细分市场清晰度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〔强中弱〕</w:t>
            </w:r>
          </w:p>
        </w:tc>
      </w:tr>
      <w:tr>
        <w:trPr>
          <w:cantSplit/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培育周期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〔短中长〕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〔短中长〕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〔短中长〕</w:t>
            </w:r>
          </w:p>
        </w:tc>
      </w:tr>
      <w:tr>
        <w:trPr>
          <w:cantSplit/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推荐角色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〔角色〕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〔角色〕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〔角色〕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4.1 推荐顺序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80"/>
        <w:gridCol w:w="528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顺序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方向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安排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第一优先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〔方向〕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〔理由和安排〕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第二优先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〔方向〕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〔理由和安排〕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第三优先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〔方向〕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〔理由和安排〕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2"/>
          </w:tcPr>
          <w:p>
            <w:pPr>
              <w:spacing w:after="60"/>
            </w:pPr>
            <w:r>
              <w:rPr>
                <w:rFonts w:ascii="Calibri" w:hAnsi="Calibri" w:eastAsia="Hiragino Sans GB"/>
                <w:b/>
                <w:i w:val="0"/>
                <w:color w:val="A77C1D"/>
                <w:sz w:val="22"/>
              </w:rPr>
              <w:t>一句话结论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20"/>
              </w:rPr>
              <w:t>〔用一句话说明当前申报采用什么方向、未来培育什么方向、建议新增方向承担什么角色。〕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1"/>
        <w:keepNext/>
      </w:pPr>
      <w:r>
        <w:t>5 政策与申报成熟度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Hiragino Sans GB"/>
          <w:b w:val="0"/>
          <w:i w:val="0"/>
          <w:color w:val="66737F"/>
          <w:sz w:val="22"/>
        </w:rPr>
        <w:t>本章在方向卡和方向选择完成后填写。目标年度政策尚未发布时，写明“按〔政策依据年〕口径反推”，并保留目标年度重新核验节点。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20"/>
        <w:gridCol w:w="474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事项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结论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目标申报年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〔年份〕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〔对培育时间线的影响〕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政策依据年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〔年份及文件〕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〔只用于提取门槛，不移植当年截止时间〕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数据截止期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〔日期或期间〕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〔财务、研发、知识产权和市场的观察期〕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总体成熟度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〔条件性、培育中或可启动〕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〔只写核心判断〕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2"/>
        <w:keepNext/>
      </w:pPr>
      <w:r>
        <w:t>5.1 核心政策门槛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40"/>
        <w:gridCol w:w="402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门槛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政策要求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前评估判断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〔门槛一〕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〔政策要求〕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〔企业情况；未知则写未知，不展开证据清单〕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〔门槛二〕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〔政策要求〕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〔企业情况〕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〔门槛三〕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〔政策要求〕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〔企业情况〕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〔门槛四〕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〔政策要求〕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〔企业情况〕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1"/>
        <w:keepNext/>
      </w:pPr>
      <w:r>
        <w:t>6 培育与专利路线图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40"/>
        <w:gridCol w:w="522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时间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重点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安排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〔时间一〕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〔方向与重点〕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〔产品、技术和专利动作〕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〔时间二〕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〔方向与重点〕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〔动作〕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〔时间三〕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〔方向与重点〕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〔动作〕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F2328"/>
                <w:sz w:val="18"/>
              </w:rPr>
              <w:t>申报选择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专利随主导产品走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8"/>
              </w:rPr>
              <w:t>不同方向的专利分别管理，不跨产品凑数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p>
      <w:pPr>
        <w:pStyle w:val="Heading1"/>
        <w:keepNext/>
      </w:pPr>
      <w:r>
        <w:t>附录 主要政策来源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300"/>
        <w:gridCol w:w="4260"/>
        <w:gridCol w:w="1080"/>
      </w:tblGrid>
      <w:tr>
        <w:trPr>
          <w:cantSplit/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编号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来源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地址或定位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203748"/>
                <w:sz w:val="18"/>
              </w:rPr>
              <w:t>核验日期</w:t>
            </w:r>
          </w:p>
        </w:tc>
      </w:tr>
      <w:tr>
        <w:trPr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S1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〔管理办法名称〕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〔官方链接〕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〔核验日期〕</w:t>
            </w:r>
          </w:p>
        </w:tc>
      </w:tr>
      <w:tr>
        <w:trPr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S2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〔申报通知名称〕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〔官方链接〕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〔核验日期〕</w:t>
            </w:r>
          </w:p>
        </w:tc>
      </w:tr>
      <w:tr>
        <w:trPr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S3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〔其他主要来源〕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〔链接或文件定位〕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Hiragino Sans GB"/>
                <w:b w:val="0"/>
                <w:i w:val="0"/>
                <w:color w:val="1F2328"/>
                <w:sz w:val="16"/>
              </w:rPr>
              <w:t>〔核验日期〕</w:t>
            </w:r>
          </w:p>
        </w:tc>
      </w:tr>
    </w:tbl>
    <w:p>
      <w:pPr>
        <w:keepNext w:val="0"/>
        <w:widowControl/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1F2328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Calibri" w:hAnsi="Calibri" w:eastAsia="Hiragino Sans GB"/>
        <w:b w:val="0"/>
        <w:i w:val="0"/>
        <w:color w:val="66737F"/>
        <w:sz w:val="17"/>
      </w:rPr>
      <w:t xml:space="preserve">焦糖咨询工作底稿  ·  </w:t>
    </w:r>
    <w:r>
      <w:rPr>
        <w:rFonts w:ascii="Calibri" w:hAnsi="Calibri" w:eastAsia="Hiragino Sans GB"/>
        <w:b w:val="0"/>
        <w:i w:val="0"/>
        <w:color w:val="66737F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3" w:color="D8DEE5"/>
      </w:pBdr>
    </w:pPr>
    <w:r>
      <w:rPr>
        <w:rFonts w:ascii="Calibri" w:hAnsi="Calibri" w:eastAsia="Hiragino Sans GB"/>
        <w:b w:val="0"/>
        <w:i w:val="0"/>
        <w:color w:val="66737F"/>
        <w:sz w:val="17"/>
      </w:rPr>
      <w:t>杭州百聆科技有限公司｜专精特新“小巨人”培育报告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64" w:lineRule="auto"/>
      <w:jc w:val="both"/>
    </w:pPr>
    <w:rPr>
      <w:rFonts w:ascii="Calibri" w:hAnsi="Calibri" w:eastAsia="Hiragino Sans GB"/>
      <w:b w:val="0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专精特新小巨人前期培育方向卡模板</dc:title>
  <dc:subject>方向卡优先、政策评估后置、成熟度单列</dc:subject>
  <dc:creator>焦糖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