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0B2545"/>
          <w:sz w:val="48"/>
        </w:rPr>
        <w:t>Standard Source Explanation</w:t>
      </w:r>
    </w:p>
    <w:p>
      <w:pPr>
        <w:spacing w:after="360"/>
        <w:jc w:val="center"/>
      </w:pPr>
      <w:r>
        <w:rPr>
          <w:rFonts w:ascii="Arial Unicode MS" w:hAnsi="Arial Unicode MS" w:eastAsia="Arial Unicode MS"/>
          <w:b w:val="0"/>
          <w:color w:val="6B7280"/>
          <w:sz w:val="21"/>
        </w:rPr>
        <w:t>Companion to Q/JT 001-2026; not part of the standard body</w:t>
      </w:r>
    </w:p>
    <w:p>
      <w:pPr>
        <w:pStyle w:val="Heading1"/>
      </w:pPr>
      <w:r>
        <w:t>Claim-to-source mapping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Normative references：GB/T 1.1-2020 Directives for standardization - Part 1: Rules for the structure and drafting of standardizing documents. [1]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Technical requirements：The sample shall remain functional after 1,000 cycles. [2]</w:t>
      </w:r>
    </w:p>
    <w:p>
      <w:pPr>
        <w:pStyle w:val="Heading1"/>
      </w:pPr>
      <w:r>
        <w:t>Source register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[1] Example Standards Authority；《Drafting rules for standardization documents》；2026-01-15；https://example.gov.cn/standard/drafting-rule；检索日期 2026-08-05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[2] product-test-data.xlsx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B7280"/>
        <w:sz w:val="17"/>
      </w:rPr>
      <w:t>Automated acceptance fixture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B7280"/>
        <w:sz w:val="17"/>
      </w:rPr>
      <w:t>Grounded Citations | Real round-trip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Jiaotang QA</dc:creator>
  <cp:keywords/>
  <dc:description>Preset: standard_business_brief. Named override: Arial Unicode MS for cross-renderer CJK coverage. Named override: A4 page for Chinese standard fixture.</dc:description>
  <cp:lastModifiedBy>Jiaotang QA</cp:lastModifiedBy>
  <cp:revision>1</cp:revision>
  <dcterms:created xsi:type="dcterms:W3CDTF">2026-08-05T00:00:00Z</dcterms:created>
  <dcterms:modified xsi:type="dcterms:W3CDTF">2026-08-05T00:00:00Z</dcterms:modified>
  <cp:category/>
</cp:coreProperties>
</file>