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0B2545"/>
          <w:sz w:val="48"/>
        </w:rPr>
        <w:t>Grounded Source Analysis Report</w:t>
      </w:r>
    </w:p>
    <w:p>
      <w:pPr>
        <w:spacing w:after="360"/>
        <w:jc w:val="center"/>
      </w:pPr>
      <w:r>
        <w:rPr>
          <w:rFonts w:ascii="Arial Unicode MS" w:hAnsi="Arial Unicode MS" w:eastAsia="Arial Unicode MS"/>
          <w:b w:val="0"/>
          <w:color w:val="6B7280"/>
          <w:sz w:val="21"/>
        </w:rPr>
        <w:t>Shared citation numbering across Word and PDF</w:t>
      </w:r>
    </w:p>
    <w:p>
      <w:pPr>
        <w:pStyle w:val="Heading1"/>
      </w:pPr>
      <w:r>
        <w:t>Conclusion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The available materials support drafting the main-product market statement, while market share still requires separate verification.[1][2]</w:t>
      </w:r>
    </w:p>
    <w:p>
      <w:pPr>
        <w:pStyle w:val="Heading1"/>
      </w:pPr>
      <w:r>
        <w:t>Data Sources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[1] Example Authority；《Current application notice》；2026-07-01；https://example.gov.cn/policy/current；检索日期 2026-08-05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[2] enterprise-product-sales-workpaper.xlsx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B7280"/>
        <w:sz w:val="17"/>
      </w:rPr>
      <w:t>Automated acceptance fixture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B7280"/>
        <w:sz w:val="17"/>
      </w:rPr>
      <w:t>Grounded Citations | Real round-trip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Jiaotang QA</dc:creator>
  <cp:keywords/>
  <dc:description>Preset: standard_business_brief. Named override: Arial Unicode MS for cross-renderer CJK coverage. No page-geometry override.</dc:description>
  <cp:lastModifiedBy>Jiaotang QA</cp:lastModifiedBy>
  <cp:revision>1</cp:revision>
  <dcterms:created xsi:type="dcterms:W3CDTF">2026-08-05T00:00:00Z</dcterms:created>
  <dcterms:modified xsi:type="dcterms:W3CDTF">2026-08-05T00:00:00Z</dcterms:modified>
  <cp:category/>
</cp:coreProperties>
</file>