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0"/>
      </w:pPr>
    </w:p>
    <w:p>
      <w:pPr>
        <w:widowControl/>
        <w:spacing w:before="0" w:after="280" w:line="240" w:lineRule="auto"/>
        <w:jc w:val="center"/>
      </w:pPr>
      <w:r>
        <w:rPr>
          <w:rFonts w:ascii="Hiragino Sans GB" w:hAnsi="Hiragino Sans GB" w:eastAsia="Hiragino Sans GB" w:cs="Hiragino Sans GB"/>
          <w:b/>
          <w:color w:val="B98532"/>
          <w:sz w:val="20"/>
          <w:lang w:eastAsia="zh-CN"/>
        </w:rPr>
        <w:t>FOCUS GUIDE  /  0.2.0</w:t>
      </w:r>
    </w:p>
    <w:p>
      <w:pPr>
        <w:widowControl/>
        <w:spacing w:before="0" w:after="160" w:line="245" w:lineRule="auto"/>
        <w:jc w:val="center"/>
      </w:pPr>
      <w:r>
        <w:rPr>
          <w:rFonts w:ascii="Hiragino Sans GB" w:hAnsi="Hiragino Sans GB" w:eastAsia="Hiragino Sans GB" w:cs="Hiragino Sans GB"/>
          <w:b/>
          <w:color w:val="132B3A"/>
          <w:sz w:val="56"/>
          <w:lang w:eastAsia="zh-CN"/>
        </w:rPr>
        <w:t>企业全生命周期助手</w:t>
      </w:r>
    </w:p>
    <w:p>
      <w:pPr>
        <w:widowControl/>
        <w:spacing w:before="0" w:after="160" w:line="259" w:lineRule="auto"/>
        <w:jc w:val="center"/>
      </w:pPr>
      <w:r>
        <w:rPr>
          <w:rFonts w:ascii="Hiragino Sans GB" w:hAnsi="Hiragino Sans GB" w:eastAsia="Hiragino Sans GB" w:cs="Hiragino Sans GB"/>
          <w:b/>
          <w:color w:val="2E74B5"/>
          <w:sz w:val="36"/>
          <w:lang w:eastAsia="zh-CN"/>
        </w:rPr>
        <w:t>Skills 管理器 0.2.0 用户手册</w:t>
      </w:r>
    </w:p>
    <w:p>
      <w:pPr>
        <w:widowControl/>
        <w:spacing w:before="0" w:after="600" w:line="276" w:lineRule="auto"/>
        <w:jc w:val="center"/>
      </w:pPr>
      <w:r>
        <w:rPr>
          <w:rFonts w:ascii="Hiragino Sans GB" w:hAnsi="Hiragino Sans GB" w:eastAsia="Hiragino Sans GB" w:cs="Hiragino Sans GB"/>
          <w:color w:val="66717C"/>
          <w:sz w:val="22"/>
          <w:lang w:eastAsia="zh-CN"/>
        </w:rPr>
        <w:t>macOS 与 Windows · Agent 扫描 · 一键导入 · 可恢复更新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FFF8E8"/>
          <w:left w:val="single" w:sz="4" w:space="0" w:color="FFF8E8"/>
          <w:bottom w:val="single" w:sz="4" w:space="0" w:color="FFF8E8"/>
          <w:right w:val="single" w:sz="4" w:space="0" w:color="FFF8E8"/>
          <w:insideH w:val="single" w:sz="4" w:space="0" w:color="FFF8E8"/>
          <w:insideV w:val="single" w:sz="4" w:space="0" w:color="FFF8E8"/>
        </w:tblBorders>
      </w:tblPr>
      <w:tblGrid>
        <w:gridCol w:w="9360"/>
      </w:tblGrid>
      <w:tr>
        <w:trPr>
          <w:cantSplit w:val="1"/>
          <w:tblHeader w:val="true"/>
        </w:trPr>
        <w:tc>
          <w:tcPr>
            <w:tcW w:type="dxa" w:w="9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fill="FFF8E8"/>
          </w:tcPr>
          <w:p>
            <w:pPr>
              <w:widowControl/>
              <w:spacing w:before="0" w:after="0" w:line="252" w:lineRule="auto"/>
            </w:pPr>
            <w:r>
              <w:rPr>
                <w:rFonts w:ascii="Hiragino Sans GB" w:hAnsi="Hiragino Sans GB" w:eastAsia="Hiragino Sans GB" w:cs="Hiragino Sans GB"/>
                <w:b/>
                <w:color w:val="B98532"/>
                <w:sz w:val="21"/>
                <w:lang w:eastAsia="zh-CN"/>
              </w:rPr>
              <w:t>先记住三件事</w:t>
            </w:r>
          </w:p>
          <w:p>
            <w:pPr>
              <w:widowControl/>
              <w:spacing w:before="0" w:after="0" w:line="252" w:lineRule="auto"/>
            </w:pPr>
            <w:r>
              <w:rPr>
                <w:rFonts w:ascii="Hiragino Sans GB" w:hAnsi="Hiragino Sans GB" w:eastAsia="Hiragino Sans GB" w:cs="Hiragino Sans GB"/>
                <w:color w:val="17212B"/>
                <w:sz w:val="20"/>
                <w:lang w:eastAsia="zh-CN"/>
              </w:rPr>
              <w:t>管理器版本与 Skills 内容版本相互独立。当前管理器为 0.2.0，正式 Skills 为 V1.4.2，共 49 项。桌面客户端采用未签名本机授权分发；应用身份与 Skills 内容验真是两条独立信任链。系统或企业策略不允许未签名应用时，继续使用 HTTPS PWA，不关闭系统防护。</w:t>
            </w:r>
          </w:p>
        </w:tc>
      </w:tr>
    </w:tbl>
    <w:p>
      <w:pPr>
        <w:spacing w:before="360" w:after="200" w:line="276" w:lineRule="auto"/>
        <w:jc w:val="center"/>
      </w:pPr>
      <w:r>
        <w:rPr>
          <w:rFonts w:ascii="Hiragino Sans GB" w:hAnsi="Hiragino Sans GB" w:eastAsia="Hiragino Sans GB" w:cs="Hiragino Sans GB"/>
          <w:b/>
          <w:color w:val="132B3A"/>
          <w:sz w:val="23"/>
          <w:lang w:eastAsia="zh-CN"/>
        </w:rPr>
        <w:t>下载  ·  校验  ·  本机授权  ·  扫描  ·  导入  ·  验收</w:t>
      </w:r>
    </w:p>
    <w:p>
      <w:pPr>
        <w:widowControl/>
        <w:spacing w:before="0" w:after="0" w:line="276" w:lineRule="auto"/>
        <w:jc w:val="center"/>
      </w:pPr>
      <w:r>
        <w:rPr>
          <w:rFonts w:ascii="Hiragino Sans GB" w:hAnsi="Hiragino Sans GB" w:eastAsia="Hiragino Sans GB" w:cs="Hiragino Sans GB"/>
          <w:color w:val="66717C"/>
          <w:sz w:val="19"/>
          <w:lang w:eastAsia="zh-CN"/>
        </w:rPr>
        <w:t>适用：macOS arm64 / x64，Windows x64  ·  更新日期：2026 年 7 月 30 日</w:t>
      </w:r>
    </w:p>
    <w:p>
      <w:pPr>
        <w:sectPr>
          <w:headerReference w:type="default" r:id="rId9"/>
          <w:footerReference w:type="default" r:id="rId10"/>
          <w:headerReference w:type="first" r:id="rId11"/>
          <w:footerReference w:type="first" r:id="rId12"/>
          <w:headerReference w:type="even" r:id="rId21"/>
          <w:footerReference w:type="even" r:id="rId22"/>
          <w:pgSz w:w="12240" w:h="15840"/>
          <w:pgMar w:top="1440" w:right="1440" w:bottom="1440" w:left="1440" w:header="708" w:footer="708" w:gutter="0"/>
          <w:cols w:space="720"/>
          <w:titlePg/>
          <w:docGrid w:linePitch="360"/>
        </w:sectPr>
      </w:pPr>
    </w:p>
    <w:p>
      <w:pPr>
        <w:pStyle w:val="Heading1"/>
        <w:pageBreakBefore w:val="0"/>
      </w:pPr>
      <w:r>
        <w:rPr>
          <w:rFonts w:ascii="Hiragino Sans GB" w:hAnsi="Hiragino Sans GB" w:eastAsia="Hiragino Sans GB" w:cs="Hiragino Sans GB"/>
          <w:b/>
          <w:color w:val="2E74B5"/>
          <w:sz w:val="32"/>
          <w:lang w:eastAsia="zh-CN"/>
        </w:rPr>
        <w:t>1  安装桌面客户端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FFF1F0"/>
          <w:left w:val="single" w:sz="4" w:space="0" w:color="FFF1F0"/>
          <w:bottom w:val="single" w:sz="4" w:space="0" w:color="FFF1F0"/>
          <w:right w:val="single" w:sz="4" w:space="0" w:color="FFF1F0"/>
          <w:insideH w:val="single" w:sz="4" w:space="0" w:color="FFF1F0"/>
          <w:insideV w:val="single" w:sz="4" w:space="0" w:color="FFF1F0"/>
        </w:tblBorders>
      </w:tblPr>
      <w:tblGrid>
        <w:gridCol w:w="9360"/>
      </w:tblGrid>
      <w:tr>
        <w:trPr>
          <w:cantSplit w:val="1"/>
          <w:tblHeader w:val="true"/>
        </w:trPr>
        <w:tc>
          <w:tcPr>
            <w:tcW w:type="dxa" w:w="9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fill="FFF1F0"/>
          </w:tcPr>
          <w:p>
            <w:pPr>
              <w:widowControl/>
              <w:spacing w:before="0" w:after="0" w:line="252" w:lineRule="auto"/>
            </w:pPr>
            <w:r>
              <w:rPr>
                <w:rFonts w:ascii="Hiragino Sans GB" w:hAnsi="Hiragino Sans GB" w:eastAsia="Hiragino Sans GB" w:cs="Hiragino Sans GB"/>
                <w:b/>
                <w:color w:val="9B1C1C"/>
                <w:sz w:val="21"/>
                <w:lang w:eastAsia="zh-CN"/>
              </w:rPr>
              <w:t>本地授权版的含义</w:t>
            </w:r>
          </w:p>
          <w:p>
            <w:pPr>
              <w:widowControl/>
              <w:spacing w:before="0" w:after="0" w:line="252" w:lineRule="auto"/>
            </w:pPr>
            <w:r>
              <w:rPr>
                <w:rFonts w:ascii="Hiragino Sans GB" w:hAnsi="Hiragino Sans GB" w:eastAsia="Hiragino Sans GB" w:cs="Hiragino Sans GB"/>
                <w:color w:val="17212B"/>
                <w:sz w:val="20"/>
                <w:lang w:eastAsia="zh-CN"/>
              </w:rPr>
              <w:t>安装包不含 Apple Developer ID、公证或 Windows Authenticode 签名。用户只能在确认下载来源、文件名、SHA-256 与发布审计后，按本机系统允许的入口继续。管理员权限只负责本机提权，不会把未知发布者变成可信发布者。</w:t>
            </w:r>
          </w:p>
        </w:tc>
      </w:tr>
    </w:tbl>
    <w:p>
      <w:pPr>
        <w:pStyle w:val="Heading2"/>
        <w:pageBreakBefore w:val="0"/>
      </w:pPr>
      <w:r>
        <w:rPr>
          <w:rFonts w:ascii="Hiragino Sans GB" w:hAnsi="Hiragino Sans GB" w:eastAsia="Hiragino Sans GB" w:cs="Hiragino Sans GB"/>
          <w:b/>
          <w:color w:val="2E74B5"/>
          <w:sz w:val="26"/>
          <w:lang w:eastAsia="zh-CN"/>
        </w:rPr>
        <w:t>下载前先核对</w:t>
      </w:r>
    </w:p>
    <w:p>
      <w:pPr>
        <w:numPr>
          <w:ilvl w:val="0"/>
          <w:numId w:val="10"/>
        </w:numPr>
        <w:spacing w:after="80" w:line="300" w:lineRule="auto"/>
        <w:ind w:left="540" w:hanging="270"/>
      </w:pPr>
      <w:r>
        <w:rPr>
          <w:rFonts w:ascii="Hiragino Sans GB" w:hAnsi="Hiragino Sans GB" w:eastAsia="Hiragino Sans GB" w:cs="Hiragino Sans GB"/>
          <w:b/>
          <w:color w:val="17212B"/>
          <w:sz w:val="22"/>
          <w:lang w:eastAsia="zh-CN"/>
        </w:rPr>
        <w:t xml:space="preserve">选择本机架构。 </w:t>
      </w:r>
      <w:r>
        <w:rPr>
          <w:rFonts w:ascii="Hiragino Sans GB" w:hAnsi="Hiragino Sans GB" w:eastAsia="Hiragino Sans GB" w:cs="Hiragino Sans GB"/>
          <w:color w:val="17212B"/>
          <w:sz w:val="22"/>
          <w:lang w:eastAsia="zh-CN"/>
        </w:rPr>
        <w:t>Apple Silicon 选择 macOS arm64；Intel Mac 选择 macOS x64；Windows 选择 x64。</w:t>
      </w:r>
    </w:p>
    <w:p>
      <w:pPr>
        <w:numPr>
          <w:ilvl w:val="0"/>
          <w:numId w:val="10"/>
        </w:numPr>
        <w:spacing w:after="80" w:line="300" w:lineRule="auto"/>
        <w:ind w:left="540" w:hanging="270"/>
      </w:pPr>
      <w:r>
        <w:rPr>
          <w:rFonts w:ascii="Hiragino Sans GB" w:hAnsi="Hiragino Sans GB" w:eastAsia="Hiragino Sans GB" w:cs="Hiragino Sans GB"/>
          <w:b/>
          <w:color w:val="17212B"/>
          <w:sz w:val="22"/>
          <w:lang w:eastAsia="zh-CN"/>
        </w:rPr>
        <w:t xml:space="preserve">确认文件名。 </w:t>
      </w:r>
      <w:r>
        <w:rPr>
          <w:rFonts w:ascii="Hiragino Sans GB" w:hAnsi="Hiragino Sans GB" w:eastAsia="Hiragino Sans GB" w:cs="Hiragino Sans GB"/>
          <w:color w:val="17212B"/>
          <w:sz w:val="22"/>
          <w:lang w:eastAsia="zh-CN"/>
        </w:rPr>
        <w:t>正式本地授权包名称必须包含 unsigned-local，版本必须为 0.2.0。</w:t>
      </w:r>
    </w:p>
    <w:p>
      <w:pPr>
        <w:numPr>
          <w:ilvl w:val="0"/>
          <w:numId w:val="10"/>
        </w:numPr>
        <w:spacing w:after="80" w:line="300" w:lineRule="auto"/>
        <w:ind w:left="540" w:hanging="270"/>
      </w:pPr>
      <w:r>
        <w:rPr>
          <w:rFonts w:ascii="Hiragino Sans GB" w:hAnsi="Hiragino Sans GB" w:eastAsia="Hiragino Sans GB" w:cs="Hiragino Sans GB"/>
          <w:b/>
          <w:color w:val="17212B"/>
          <w:sz w:val="22"/>
          <w:lang w:eastAsia="zh-CN"/>
        </w:rPr>
        <w:t xml:space="preserve">核对完整性。 </w:t>
      </w:r>
      <w:r>
        <w:rPr>
          <w:rFonts w:ascii="Hiragino Sans GB" w:hAnsi="Hiragino Sans GB" w:eastAsia="Hiragino Sans GB" w:cs="Hiragino Sans GB"/>
          <w:color w:val="17212B"/>
          <w:sz w:val="22"/>
          <w:lang w:eastAsia="zh-CN"/>
        </w:rPr>
        <w:t>按发布页说明比对 SHA256SUMS.txt 与 release-audit.json；任一不一致立即停止。</w:t>
      </w:r>
    </w:p>
    <w:p>
      <w:pPr>
        <w:pStyle w:val="Heading2"/>
        <w:pageBreakBefore w:val="0"/>
      </w:pPr>
      <w:r>
        <w:rPr>
          <w:rFonts w:ascii="Hiragino Sans GB" w:hAnsi="Hiragino Sans GB" w:eastAsia="Hiragino Sans GB" w:cs="Hiragino Sans GB"/>
          <w:b/>
          <w:color w:val="2E74B5"/>
          <w:sz w:val="26"/>
          <w:lang w:eastAsia="zh-CN"/>
        </w:rPr>
        <w:t>macOS 与 Windows 操作差异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8E0E7"/>
          <w:left w:val="single" w:sz="6" w:space="0" w:color="D8E0E7"/>
          <w:bottom w:val="single" w:sz="6" w:space="0" w:color="D8E0E7"/>
          <w:right w:val="single" w:sz="6" w:space="0" w:color="D8E0E7"/>
          <w:insideH w:val="single" w:sz="6" w:space="0" w:color="D8E0E7"/>
          <w:insideV w:val="single" w:sz="6" w:space="0" w:color="D8E0E7"/>
        </w:tblBorders>
      </w:tblPr>
      <w:tblGrid>
        <w:gridCol w:w="1300"/>
        <w:gridCol w:w="4030"/>
        <w:gridCol w:w="4030"/>
      </w:tblGrid>
      <w:tr>
        <w:trPr>
          <w:cantSplit w:val="1"/>
          <w:tblHeader w:val="true"/>
        </w:trPr>
        <w:tc>
          <w:tcPr>
            <w:tcW w:type="dxa" w:w="1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fill="E8EEF5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32B3A"/>
                <w:sz w:val="18"/>
                <w:lang w:eastAsia="zh-CN"/>
              </w:rPr>
              <w:t>环节</w:t>
            </w:r>
          </w:p>
        </w:tc>
        <w:tc>
          <w:tcPr>
            <w:tcW w:type="dxa" w:w="403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fill="E8EEF5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132B3A"/>
                <w:sz w:val="18"/>
                <w:lang w:eastAsia="zh-CN"/>
              </w:rPr>
              <w:t>macOS</w:t>
            </w:r>
          </w:p>
        </w:tc>
        <w:tc>
          <w:tcPr>
            <w:tcW w:type="dxa" w:w="403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fill="E8EEF5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132B3A"/>
                <w:sz w:val="18"/>
                <w:lang w:eastAsia="zh-CN"/>
              </w:rPr>
              <w:t>Windows</w:t>
            </w:r>
          </w:p>
        </w:tc>
      </w:tr>
      <w:tr>
        <w:trPr>
          <w:cantSplit w:val="1"/>
        </w:trPr>
        <w:tc>
          <w:tcPr>
            <w:tcW w:type="dxa" w:w="1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7212B"/>
                <w:sz w:val="18"/>
                <w:lang w:eastAsia="zh-CN"/>
              </w:rPr>
              <w:t>首次打开</w:t>
            </w:r>
          </w:p>
        </w:tc>
        <w:tc>
          <w:tcPr>
            <w:tcW w:type="dxa" w:w="403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7212B"/>
                <w:sz w:val="18"/>
                <w:lang w:eastAsia="zh-CN"/>
              </w:rPr>
              <w:t>双击 DMG，将应用放入“应用程序”。若被阻止，到“系统设置 → 隐私与安全性”选择“仍要打开”，再完成本机认证。</w:t>
            </w:r>
          </w:p>
        </w:tc>
        <w:tc>
          <w:tcPr>
            <w:tcW w:type="dxa" w:w="403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7212B"/>
                <w:sz w:val="18"/>
                <w:lang w:eastAsia="zh-CN"/>
              </w:rPr>
              <w:t>运行 EXE。系统策略允许时，可在 SmartScreen 中选择“更多信息 → 仍要运行”。</w:t>
            </w:r>
          </w:p>
        </w:tc>
      </w:tr>
      <w:tr>
        <w:trPr>
          <w:cantSplit w:val="1"/>
        </w:trPr>
        <w:tc>
          <w:tcPr>
            <w:tcW w:type="dxa" w:w="1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7212B"/>
                <w:sz w:val="18"/>
                <w:lang w:eastAsia="zh-CN"/>
              </w:rPr>
              <w:t>不要做</w:t>
            </w:r>
          </w:p>
        </w:tc>
        <w:tc>
          <w:tcPr>
            <w:tcW w:type="dxa" w:w="403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7212B"/>
                <w:sz w:val="18"/>
                <w:lang w:eastAsia="zh-CN"/>
              </w:rPr>
              <w:t>不要删除隔离属性，不要关闭 Gatekeeper，不要运行来源不明的终端命令。</w:t>
            </w:r>
          </w:p>
        </w:tc>
        <w:tc>
          <w:tcPr>
            <w:tcW w:type="dxa" w:w="403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7212B"/>
                <w:sz w:val="18"/>
                <w:lang w:eastAsia="zh-CN"/>
              </w:rPr>
              <w:t>不要关闭 Smart App Control、杀毒软件或组织策略，不要把 UAC 提示当成发布者证明。</w:t>
            </w:r>
          </w:p>
        </w:tc>
      </w:tr>
      <w:tr>
        <w:trPr>
          <w:cantSplit w:val="1"/>
        </w:trPr>
        <w:tc>
          <w:tcPr>
            <w:tcW w:type="dxa" w:w="1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7212B"/>
                <w:sz w:val="18"/>
                <w:lang w:eastAsia="zh-CN"/>
              </w:rPr>
              <w:t>完全阻止时</w:t>
            </w:r>
          </w:p>
        </w:tc>
        <w:tc>
          <w:tcPr>
            <w:tcW w:type="dxa" w:w="403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7212B"/>
                <w:sz w:val="18"/>
                <w:lang w:eastAsia="zh-CN"/>
              </w:rPr>
              <w:t>继续使用门户 HTTPS PWA，或等待取得 Developer ID 的签名版。</w:t>
            </w:r>
          </w:p>
        </w:tc>
        <w:tc>
          <w:tcPr>
            <w:tcW w:type="dxa" w:w="403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7212B"/>
                <w:sz w:val="18"/>
                <w:lang w:eastAsia="zh-CN"/>
              </w:rPr>
              <w:t>继续使用门户 HTTPS PWA；企业设备应联系管理员确认策略，不尝试绕过。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F4F6F9"/>
          <w:left w:val="single" w:sz="4" w:space="0" w:color="F4F6F9"/>
          <w:bottom w:val="single" w:sz="4" w:space="0" w:color="F4F6F9"/>
          <w:right w:val="single" w:sz="4" w:space="0" w:color="F4F6F9"/>
          <w:insideH w:val="single" w:sz="4" w:space="0" w:color="F4F6F9"/>
          <w:insideV w:val="single" w:sz="4" w:space="0" w:color="F4F6F9"/>
        </w:tblBorders>
      </w:tblPr>
      <w:tblGrid>
        <w:gridCol w:w="9360"/>
      </w:tblGrid>
      <w:tr>
        <w:trPr>
          <w:cantSplit w:val="1"/>
          <w:tblHeader w:val="true"/>
        </w:trPr>
        <w:tc>
          <w:tcPr>
            <w:tcW w:type="dxa" w:w="9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fill="F4F6F9"/>
          </w:tcPr>
          <w:p>
            <w:pPr>
              <w:widowControl/>
              <w:spacing w:before="0" w:after="0" w:line="252" w:lineRule="auto"/>
            </w:pPr>
            <w:r>
              <w:rPr>
                <w:rFonts w:ascii="Hiragino Sans GB" w:hAnsi="Hiragino Sans GB" w:eastAsia="Hiragino Sans GB" w:cs="Hiragino Sans GB"/>
                <w:b/>
                <w:color w:val="1F4D78"/>
                <w:sz w:val="21"/>
                <w:lang w:eastAsia="zh-CN"/>
              </w:rPr>
              <w:t>现有用户不受影响</w:t>
            </w:r>
          </w:p>
          <w:p>
            <w:pPr>
              <w:widowControl/>
              <w:spacing w:before="0" w:after="0" w:line="252" w:lineRule="auto"/>
            </w:pPr>
            <w:r>
              <w:rPr>
                <w:rFonts w:ascii="Hiragino Sans GB" w:hAnsi="Hiragino Sans GB" w:eastAsia="Hiragino Sans GB" w:cs="Hiragino Sans GB"/>
                <w:color w:val="17212B"/>
                <w:sz w:val="20"/>
                <w:lang w:eastAsia="zh-CN"/>
              </w:rPr>
              <w:t>安装管理器 0.2.0 不会强制升级 49 项 Skills，不会改变已有 WorkBuddy 插件、设备绑定、MCP 凭据或旧下载地址。同一台 Mac 或 Windows 已绑定团队知识库时，正常情况下继续复用现有设备凭据。</w:t>
            </w:r>
          </w:p>
        </w:tc>
      </w:tr>
    </w:tbl>
    <w:p>
      <w:pPr>
        <w:sectPr>
          <w:headerReference w:type="default" r:id="rId13"/>
          <w:footerReference w:type="default" r:id="rId14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pageBreakBefore w:val="0"/>
      </w:pPr>
      <w:r>
        <w:rPr>
          <w:rFonts w:ascii="Hiragino Sans GB" w:hAnsi="Hiragino Sans GB" w:eastAsia="Hiragino Sans GB" w:cs="Hiragino Sans GB"/>
          <w:b/>
          <w:color w:val="2E74B5"/>
          <w:sz w:val="32"/>
          <w:lang w:eastAsia="zh-CN"/>
        </w:rPr>
        <w:t>2  扫描 Agent 与一键导入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E8EEF5"/>
          <w:left w:val="single" w:sz="4" w:space="0" w:color="E8EEF5"/>
          <w:bottom w:val="single" w:sz="4" w:space="0" w:color="E8EEF5"/>
          <w:right w:val="single" w:sz="4" w:space="0" w:color="E8EEF5"/>
          <w:insideH w:val="single" w:sz="4" w:space="0" w:color="E8EEF5"/>
          <w:insideV w:val="single" w:sz="4" w:space="0" w:color="E8EEF5"/>
        </w:tblBorders>
      </w:tblPr>
      <w:tblGrid>
        <w:gridCol w:w="9360"/>
      </w:tblGrid>
      <w:tr>
        <w:trPr>
          <w:cantSplit w:val="1"/>
          <w:tblHeader w:val="true"/>
        </w:trPr>
        <w:tc>
          <w:tcPr>
            <w:tcW w:type="dxa" w:w="9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fill="E8EEF5"/>
          </w:tcPr>
          <w:p>
            <w:pPr>
              <w:widowControl/>
              <w:spacing w:before="0" w:after="0" w:line="252" w:lineRule="auto"/>
            </w:pPr>
            <w:r>
              <w:rPr>
                <w:rFonts w:ascii="Hiragino Sans GB" w:hAnsi="Hiragino Sans GB" w:eastAsia="Hiragino Sans GB" w:cs="Hiragino Sans GB"/>
                <w:b/>
                <w:color w:val="1F4D78"/>
                <w:sz w:val="21"/>
                <w:lang w:eastAsia="zh-CN"/>
              </w:rPr>
              <w:t>扫描由用户主动触发</w:t>
            </w:r>
          </w:p>
          <w:p>
            <w:pPr>
              <w:widowControl/>
              <w:spacing w:before="0" w:after="0" w:line="252" w:lineRule="auto"/>
            </w:pPr>
            <w:r>
              <w:rPr>
                <w:rFonts w:ascii="Hiragino Sans GB" w:hAnsi="Hiragino Sans GB" w:eastAsia="Hiragino Sans GB" w:cs="Hiragino Sans GB"/>
                <w:color w:val="17212B"/>
                <w:sz w:val="20"/>
                <w:lang w:eastAsia="zh-CN"/>
              </w:rPr>
              <w:t>只有点击“扫描本机 Agent”后才开始。扫描范围限于系统应用目录、常见用户安装目录和已配置命令位置；不读取项目正文、客户资料、聊天记录或用户文档。正式平台扫描只识别 WorkBuddy。</w:t>
            </w:r>
          </w:p>
        </w:tc>
      </w:tr>
    </w:tbl>
    <w:p>
      <w:pPr>
        <w:pStyle w:val="Heading2"/>
        <w:pageBreakBefore w:val="0"/>
      </w:pPr>
      <w:r>
        <w:rPr>
          <w:rFonts w:ascii="Hiragino Sans GB" w:hAnsi="Hiragino Sans GB" w:eastAsia="Hiragino Sans GB" w:cs="Hiragino Sans GB"/>
          <w:b/>
          <w:color w:val="2E74B5"/>
          <w:sz w:val="26"/>
          <w:lang w:eastAsia="zh-CN"/>
        </w:rPr>
        <w:t>标准操作</w:t>
      </w:r>
    </w:p>
    <w:p>
      <w:pPr>
        <w:numPr>
          <w:ilvl w:val="0"/>
          <w:numId w:val="11"/>
        </w:numPr>
        <w:spacing w:after="80" w:line="300" w:lineRule="auto"/>
        <w:ind w:left="540" w:hanging="270"/>
      </w:pPr>
      <w:r>
        <w:rPr>
          <w:rFonts w:ascii="Hiragino Sans GB" w:hAnsi="Hiragino Sans GB" w:eastAsia="Hiragino Sans GB" w:cs="Hiragino Sans GB"/>
          <w:b/>
          <w:color w:val="17212B"/>
          <w:sz w:val="22"/>
          <w:lang w:eastAsia="zh-CN"/>
        </w:rPr>
        <w:t xml:space="preserve">连接发布门户。 </w:t>
      </w:r>
      <w:r>
        <w:rPr>
          <w:rFonts w:ascii="Hiragino Sans GB" w:hAnsi="Hiragino Sans GB" w:eastAsia="Hiragino Sans GB" w:cs="Hiragino Sans GB"/>
          <w:color w:val="17212B"/>
          <w:sz w:val="22"/>
          <w:lang w:eastAsia="zh-CN"/>
        </w:rPr>
        <w:t>使用已有设备凭据连接；管理员调试时才使用管理员令牌。</w:t>
      </w:r>
    </w:p>
    <w:p>
      <w:pPr>
        <w:numPr>
          <w:ilvl w:val="0"/>
          <w:numId w:val="11"/>
        </w:numPr>
        <w:spacing w:after="80" w:line="300" w:lineRule="auto"/>
        <w:ind w:left="540" w:hanging="270"/>
      </w:pPr>
      <w:r>
        <w:rPr>
          <w:rFonts w:ascii="Hiragino Sans GB" w:hAnsi="Hiragino Sans GB" w:eastAsia="Hiragino Sans GB" w:cs="Hiragino Sans GB"/>
          <w:b/>
          <w:color w:val="17212B"/>
          <w:sz w:val="22"/>
          <w:lang w:eastAsia="zh-CN"/>
        </w:rPr>
        <w:t xml:space="preserve">点击扫描。 </w:t>
      </w:r>
      <w:r>
        <w:rPr>
          <w:rFonts w:ascii="Hiragino Sans GB" w:hAnsi="Hiragino Sans GB" w:eastAsia="Hiragino Sans GB" w:cs="Hiragino Sans GB"/>
          <w:color w:val="17212B"/>
          <w:sz w:val="22"/>
          <w:lang w:eastAsia="zh-CN"/>
        </w:rPr>
        <w:t>总览或平台页均可重新扫描，结果会显示命中路径、耗时与适配器 revision。</w:t>
      </w:r>
    </w:p>
    <w:p>
      <w:pPr>
        <w:numPr>
          <w:ilvl w:val="0"/>
          <w:numId w:val="11"/>
        </w:numPr>
        <w:spacing w:after="80" w:line="300" w:lineRule="auto"/>
        <w:ind w:left="540" w:hanging="270"/>
      </w:pPr>
      <w:r>
        <w:rPr>
          <w:rFonts w:ascii="Hiragino Sans GB" w:hAnsi="Hiragino Sans GB" w:eastAsia="Hiragino Sans GB" w:cs="Hiragino Sans GB"/>
          <w:b/>
          <w:color w:val="17212B"/>
          <w:sz w:val="22"/>
          <w:lang w:eastAsia="zh-CN"/>
        </w:rPr>
        <w:t xml:space="preserve">选择产物。 </w:t>
      </w:r>
      <w:r>
        <w:rPr>
          <w:rFonts w:ascii="Hiragino Sans GB" w:hAnsi="Hiragino Sans GB" w:eastAsia="Hiragino Sans GB" w:cs="Hiragino Sans GB"/>
          <w:color w:val="17212B"/>
          <w:sz w:val="22"/>
          <w:lang w:eastAsia="zh-CN"/>
        </w:rPr>
        <w:t>根据宿主能力选择通用版或 WorkBuddy 跨平台版。</w:t>
      </w:r>
    </w:p>
    <w:p>
      <w:pPr>
        <w:numPr>
          <w:ilvl w:val="0"/>
          <w:numId w:val="11"/>
        </w:numPr>
        <w:spacing w:after="80" w:line="300" w:lineRule="auto"/>
        <w:ind w:left="540" w:hanging="270"/>
      </w:pPr>
      <w:r>
        <w:rPr>
          <w:rFonts w:ascii="Hiragino Sans GB" w:hAnsi="Hiragino Sans GB" w:eastAsia="Hiragino Sans GB" w:cs="Hiragino Sans GB"/>
          <w:b/>
          <w:color w:val="17212B"/>
          <w:sz w:val="22"/>
          <w:lang w:eastAsia="zh-CN"/>
        </w:rPr>
        <w:t xml:space="preserve">预览计划。 </w:t>
      </w:r>
      <w:r>
        <w:rPr>
          <w:rFonts w:ascii="Hiragino Sans GB" w:hAnsi="Hiragino Sans GB" w:eastAsia="Hiragino Sans GB" w:cs="Hiragino Sans GB"/>
          <w:color w:val="17212B"/>
          <w:sz w:val="22"/>
          <w:lang w:eastAsia="zh-CN"/>
        </w:rPr>
        <w:t>管理器列出新增、替换和冲突。发现未登记的同名目录时自动阻断覆盖。</w:t>
      </w:r>
    </w:p>
    <w:p>
      <w:pPr>
        <w:numPr>
          <w:ilvl w:val="0"/>
          <w:numId w:val="11"/>
        </w:numPr>
        <w:spacing w:after="120" w:line="300" w:lineRule="auto"/>
        <w:ind w:left="540" w:hanging="270"/>
      </w:pPr>
      <w:r>
        <w:rPr>
          <w:rFonts w:ascii="Hiragino Sans GB" w:hAnsi="Hiragino Sans GB" w:eastAsia="Hiragino Sans GB" w:cs="Hiragino Sans GB"/>
          <w:b/>
          <w:color w:val="17212B"/>
          <w:sz w:val="22"/>
          <w:lang w:eastAsia="zh-CN"/>
        </w:rPr>
        <w:t xml:space="preserve">确认导入。 </w:t>
      </w:r>
      <w:r>
        <w:rPr>
          <w:rFonts w:ascii="Hiragino Sans GB" w:hAnsi="Hiragino Sans GB" w:eastAsia="Hiragino Sans GB" w:cs="Hiragino Sans GB"/>
          <w:color w:val="17212B"/>
          <w:sz w:val="22"/>
          <w:lang w:eastAsia="zh-CN"/>
        </w:rPr>
        <w:t>只向已确认的用户级 Skills 目录写入已验签内容，不请求修改未知平台数据库。</w:t>
      </w:r>
    </w:p>
    <w:p>
      <w:pPr>
        <w:numPr>
          <w:ilvl w:val="0"/>
          <w:numId w:val="11"/>
        </w:numPr>
        <w:spacing w:after="120" w:line="300" w:lineRule="auto" w:before="240"/>
        <w:ind w:left="540" w:hanging="270"/>
      </w:pPr>
      <w:r>
        <w:rPr>
          <w:rFonts w:ascii="Hiragino Sans GB" w:hAnsi="Hiragino Sans GB" w:eastAsia="Hiragino Sans GB" w:cs="Hiragino Sans GB"/>
          <w:b/>
          <w:color w:val="17212B"/>
          <w:sz w:val="22"/>
          <w:lang w:eastAsia="zh-CN"/>
        </w:rPr>
        <w:t xml:space="preserve">回到 Agent 验收。 </w:t>
      </w:r>
      <w:r>
        <w:rPr>
          <w:rFonts w:ascii="Hiragino Sans GB" w:hAnsi="Hiragino Sans GB" w:eastAsia="Hiragino Sans GB" w:cs="Hiragino Sans GB"/>
          <w:color w:val="17212B"/>
          <w:sz w:val="22"/>
          <w:lang w:eastAsia="zh-CN"/>
        </w:rPr>
        <w:t>新建会话，确认 49 项目录可见，并抽样调用一个文档或知识库能力。</w:t>
      </w:r>
    </w:p>
    <w:p>
      <w:pPr>
        <w:pStyle w:val="Heading2"/>
        <w:pageBreakBefore w:val="0"/>
      </w:pPr>
      <w:r>
        <w:rPr>
          <w:rFonts w:ascii="Hiragino Sans GB" w:hAnsi="Hiragino Sans GB" w:eastAsia="Hiragino Sans GB" w:cs="Hiragino Sans GB"/>
          <w:b/>
          <w:color w:val="2E74B5"/>
          <w:sz w:val="26"/>
          <w:lang w:eastAsia="zh-CN"/>
        </w:rPr>
        <w:t>两个正式产物的当前动作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8E0E7"/>
          <w:left w:val="single" w:sz="6" w:space="0" w:color="D8E0E7"/>
          <w:bottom w:val="single" w:sz="6" w:space="0" w:color="D8E0E7"/>
          <w:right w:val="single" w:sz="6" w:space="0" w:color="D8E0E7"/>
          <w:insideH w:val="single" w:sz="6" w:space="0" w:color="D8E0E7"/>
          <w:insideV w:val="single" w:sz="6" w:space="0" w:color="D8E0E7"/>
        </w:tblBorders>
      </w:tblPr>
      <w:tblGrid>
        <w:gridCol w:w="1450"/>
        <w:gridCol w:w="1800"/>
        <w:gridCol w:w="2800"/>
        <w:gridCol w:w="3310"/>
      </w:tblGrid>
      <w:tr>
        <w:trPr>
          <w:cantSplit w:val="1"/>
          <w:tblHeader w:val="true"/>
        </w:trPr>
        <w:tc>
          <w:tcPr>
            <w:tcW w:type="dxa" w:w="14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fill="E8EEF5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32B3A"/>
                <w:sz w:val="17"/>
                <w:lang w:eastAsia="zh-CN"/>
              </w:rPr>
              <w:t>平台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fill="E8EEF5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132B3A"/>
                <w:sz w:val="17"/>
                <w:lang w:eastAsia="zh-CN"/>
              </w:rPr>
              <w:t>识别入口</w:t>
            </w:r>
          </w:p>
        </w:tc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fill="E8EEF5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132B3A"/>
                <w:sz w:val="17"/>
                <w:lang w:eastAsia="zh-CN"/>
              </w:rPr>
              <w:t>管理器动作</w:t>
            </w:r>
          </w:p>
        </w:tc>
        <w:tc>
          <w:tcPr>
            <w:tcW w:type="dxa" w:w="33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fill="E8EEF5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132B3A"/>
                <w:sz w:val="17"/>
                <w:lang w:eastAsia="zh-CN"/>
              </w:rPr>
              <w:t>用户最终动作</w:t>
            </w:r>
          </w:p>
        </w:tc>
      </w:tr>
      <w:tr>
        <w:trPr>
          <w:cantSplit w:val="1"/>
        </w:trPr>
        <w:tc>
          <w:tcPr>
            <w:tcW w:type="dxa" w:w="14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7212B"/>
                <w:sz w:val="17"/>
                <w:lang w:eastAsia="zh-CN"/>
              </w:rPr>
              <w:t>WorkBuddy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7212B"/>
                <w:sz w:val="17"/>
                <w:lang w:eastAsia="zh-CN"/>
              </w:rPr>
              <w:t>应用安装位置</w:t>
            </w:r>
          </w:p>
        </w:tc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7212B"/>
                <w:sz w:val="17"/>
                <w:lang w:eastAsia="zh-CN"/>
              </w:rPr>
              <w:t>准备并验签通用插件市场包</w:t>
            </w:r>
          </w:p>
        </w:tc>
        <w:tc>
          <w:tcPr>
            <w:tcW w:type="dxa" w:w="33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7212B"/>
                <w:sz w:val="17"/>
                <w:lang w:eastAsia="zh-CN"/>
              </w:rPr>
              <w:t>在 WorkBuddy 应用内添加市场、安装并启用</w:t>
            </w:r>
          </w:p>
        </w:tc>
      </w:tr>
      <w:tr>
        <w:trPr>
          <w:cantSplit w:val="1"/>
        </w:trPr>
        <w:tc>
          <w:tcPr>
            <w:tcW w:type="dxa" w:w="14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7212B"/>
                <w:sz w:val="17"/>
                <w:lang w:eastAsia="zh-CN"/>
              </w:rPr>
              <w:t>通用版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7212B"/>
                <w:sz w:val="17"/>
                <w:lang w:eastAsia="zh-CN"/>
              </w:rPr>
              <w:t>标准 Skills 入口</w:t>
            </w:r>
          </w:p>
        </w:tc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7212B"/>
                <w:sz w:val="17"/>
                <w:lang w:eastAsia="zh-CN"/>
              </w:rPr>
              <w:t>下载并验签通用 Skills 包</w:t>
            </w:r>
          </w:p>
        </w:tc>
        <w:tc>
          <w:tcPr>
            <w:tcW w:type="dxa" w:w="33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7212B"/>
                <w:sz w:val="17"/>
                <w:lang w:eastAsia="zh-CN"/>
              </w:rPr>
              <w:t>按宿主标准入口导入并新建会话复验</w:t>
            </w:r>
          </w:p>
        </w:tc>
      </w:tr>
    </w:tbl>
    <w:p>
      <w:pPr>
        <w:sectPr>
          <w:headerReference w:type="default" r:id="rId15"/>
          <w:footerReference w:type="default" r:id="rId16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pageBreakBefore w:val="0"/>
      </w:pPr>
      <w:r>
        <w:rPr>
          <w:rFonts w:ascii="Hiragino Sans GB" w:hAnsi="Hiragino Sans GB" w:eastAsia="Hiragino Sans GB" w:cs="Hiragino Sans GB"/>
          <w:b/>
          <w:color w:val="2E74B5"/>
          <w:sz w:val="32"/>
          <w:lang w:eastAsia="zh-CN"/>
        </w:rPr>
        <w:t>3  WorkBuddy 与远程签名适配器</w:t>
      </w:r>
    </w:p>
    <w:p>
      <w:pPr>
        <w:pStyle w:val="Heading2"/>
        <w:pageBreakBefore w:val="0"/>
      </w:pPr>
      <w:r>
        <w:rPr>
          <w:rFonts w:ascii="Hiragino Sans GB" w:hAnsi="Hiragino Sans GB" w:eastAsia="Hiragino Sans GB" w:cs="Hiragino Sans GB"/>
          <w:b/>
          <w:color w:val="2E74B5"/>
          <w:sz w:val="26"/>
          <w:lang w:eastAsia="zh-CN"/>
        </w:rPr>
        <w:t>WorkBuddy 使用同一个跨平台包</w:t>
      </w:r>
    </w:p>
    <w:p>
      <w:pPr>
        <w:spacing w:line="252" w:lineRule="auto" w:after="0"/>
      </w:pPr>
      <w:r>
        <w:rPr>
          <w:rFonts w:ascii="Hiragino Sans GB" w:hAnsi="Hiragino Sans GB" w:eastAsia="Hiragino Sans GB" w:cs="Hiragino Sans GB"/>
          <w:color w:val="17212B"/>
          <w:sz w:val="22"/>
          <w:lang w:eastAsia="zh-CN"/>
        </w:rPr>
        <w:t>macOS 与 Windows 不再分别发布 WorkBuddy 安装包，也不再运行固定 .command、.cmd、PowerShell 或外部 CLI。管理器只下载、验签并定位同一个跨平台插件市场 ZIP。V1.4.2 从签名插件根目录 .mcp.json 加载 jiaotang-kb，plugin.json 保留相对路径声明；不写用户级、项目级或全局 MCP 配置。</w:t>
      </w:r>
    </w:p>
    <w:p>
      <w:pPr>
        <w:numPr>
          <w:ilvl w:val="0"/>
          <w:numId w:val="12"/>
        </w:numPr>
        <w:spacing w:after="0" w:line="252" w:lineRule="auto"/>
        <w:ind w:left="540" w:hanging="270"/>
      </w:pPr>
      <w:r>
        <w:rPr>
          <w:rFonts w:ascii="Hiragino Sans GB" w:hAnsi="Hiragino Sans GB" w:eastAsia="Hiragino Sans GB" w:cs="Hiragino Sans GB"/>
          <w:b/>
          <w:color w:val="17212B"/>
          <w:sz w:val="22"/>
          <w:lang w:eastAsia="zh-CN"/>
        </w:rPr>
        <w:t xml:space="preserve">下载并验签。 </w:t>
      </w:r>
      <w:r>
        <w:rPr>
          <w:rFonts w:ascii="Hiragino Sans GB" w:hAnsi="Hiragino Sans GB" w:eastAsia="Hiragino Sans GB" w:cs="Hiragino Sans GB"/>
          <w:color w:val="17212B"/>
          <w:sz w:val="22"/>
          <w:lang w:eastAsia="zh-CN"/>
        </w:rPr>
        <w:t>在平台页点击“准备安装”，等待签名与逐文件哈希通过。</w:t>
      </w:r>
    </w:p>
    <w:p>
      <w:pPr>
        <w:numPr>
          <w:ilvl w:val="0"/>
          <w:numId w:val="12"/>
        </w:numPr>
        <w:spacing w:after="0" w:line="252" w:lineRule="auto"/>
        <w:ind w:left="540" w:hanging="270"/>
      </w:pPr>
      <w:r>
        <w:rPr>
          <w:rFonts w:ascii="Hiragino Sans GB" w:hAnsi="Hiragino Sans GB" w:eastAsia="Hiragino Sans GB" w:cs="Hiragino Sans GB"/>
          <w:b/>
          <w:color w:val="17212B"/>
          <w:sz w:val="22"/>
          <w:lang w:eastAsia="zh-CN"/>
        </w:rPr>
        <w:t xml:space="preserve">定位并解压。 </w:t>
      </w:r>
      <w:r>
        <w:rPr>
          <w:rFonts w:ascii="Hiragino Sans GB" w:hAnsi="Hiragino Sans GB" w:eastAsia="Hiragino Sans GB" w:cs="Hiragino Sans GB"/>
          <w:color w:val="17212B"/>
          <w:sz w:val="22"/>
          <w:lang w:eastAsia="zh-CN"/>
        </w:rPr>
        <w:t>打开 ZIP 位置，安全解压完整 jiaotang 市场。</w:t>
      </w:r>
    </w:p>
    <w:p>
      <w:pPr>
        <w:numPr>
          <w:ilvl w:val="0"/>
          <w:numId w:val="12"/>
        </w:numPr>
        <w:spacing w:after="0" w:line="252" w:lineRule="auto"/>
        <w:ind w:left="540" w:hanging="270"/>
      </w:pPr>
      <w:r>
        <w:rPr>
          <w:rFonts w:ascii="Hiragino Sans GB" w:hAnsi="Hiragino Sans GB" w:eastAsia="Hiragino Sans GB" w:cs="Hiragino Sans GB"/>
          <w:b/>
          <w:color w:val="17212B"/>
          <w:sz w:val="22"/>
          <w:lang w:eastAsia="zh-CN"/>
        </w:rPr>
        <w:t xml:space="preserve">持久保存。 </w:t>
      </w:r>
      <w:r>
        <w:rPr>
          <w:rFonts w:ascii="Hiragino Sans GB" w:hAnsi="Hiragino Sans GB" w:eastAsia="Hiragino Sans GB" w:cs="Hiragino Sans GB"/>
          <w:color w:val="17212B"/>
          <w:sz w:val="22"/>
          <w:lang w:eastAsia="zh-CN"/>
        </w:rPr>
        <w:t>将完整市场保存到当前 WorkBuddy 实际用户目录的 plugins/marketplaces/jiaotang，不使用临时下载或临时解压目录。</w:t>
      </w:r>
    </w:p>
    <w:p>
      <w:pPr>
        <w:numPr>
          <w:ilvl w:val="0"/>
          <w:numId w:val="12"/>
        </w:numPr>
        <w:spacing w:after="0" w:line="252" w:lineRule="auto"/>
        <w:ind w:left="540" w:hanging="270"/>
      </w:pPr>
      <w:r>
        <w:rPr>
          <w:rFonts w:ascii="Hiragino Sans GB" w:hAnsi="Hiragino Sans GB" w:eastAsia="Hiragino Sans GB" w:cs="Hiragino Sans GB"/>
          <w:b/>
          <w:color w:val="17212B"/>
          <w:sz w:val="22"/>
          <w:lang w:eastAsia="zh-CN"/>
        </w:rPr>
        <w:t xml:space="preserve">添加本地市场。 </w:t>
      </w:r>
      <w:r>
        <w:rPr>
          <w:rFonts w:ascii="Hiragino Sans GB" w:hAnsi="Hiragino Sans GB" w:eastAsia="Hiragino Sans GB" w:cs="Hiragino Sans GB"/>
          <w:color w:val="17212B"/>
          <w:sz w:val="22"/>
          <w:lang w:eastAsia="zh-CN"/>
        </w:rPr>
        <w:t>在 WorkBuddy 插件市场添加上述持久 jiaotang 目录；安装后不得清理该目录。</w:t>
      </w:r>
    </w:p>
    <w:p>
      <w:pPr>
        <w:numPr>
          <w:ilvl w:val="0"/>
          <w:numId w:val="12"/>
        </w:numPr>
        <w:spacing w:after="0" w:line="252" w:lineRule="auto"/>
        <w:ind w:left="540" w:hanging="270"/>
      </w:pPr>
      <w:r>
        <w:rPr>
          <w:rFonts w:ascii="Hiragino Sans GB" w:hAnsi="Hiragino Sans GB" w:eastAsia="Hiragino Sans GB" w:cs="Hiragino Sans GB"/>
          <w:b/>
          <w:color w:val="17212B"/>
          <w:sz w:val="22"/>
          <w:lang w:eastAsia="zh-CN"/>
        </w:rPr>
        <w:t xml:space="preserve">安装并启用。 </w:t>
      </w:r>
      <w:r>
        <w:rPr>
          <w:rFonts w:ascii="Hiragino Sans GB" w:hAnsi="Hiragino Sans GB" w:eastAsia="Hiragino Sans GB" w:cs="Hiragino Sans GB"/>
          <w:color w:val="17212B"/>
          <w:sz w:val="22"/>
          <w:lang w:eastAsia="zh-CN"/>
        </w:rPr>
        <w:t>安装 jiaotang-workbuddy-skills@jiaotang；不关闭 WorkBuddy，不运行包外脚本。</w:t>
      </w:r>
    </w:p>
    <w:p>
      <w:pPr>
        <w:numPr>
          <w:ilvl w:val="0"/>
          <w:numId w:val="12"/>
        </w:numPr>
        <w:spacing w:after="0" w:line="252" w:lineRule="auto"/>
        <w:ind w:left="540" w:hanging="270"/>
      </w:pPr>
      <w:r>
        <w:rPr>
          <w:rFonts w:ascii="Hiragino Sans GB" w:hAnsi="Hiragino Sans GB" w:eastAsia="Hiragino Sans GB" w:cs="Hiragino Sans GB"/>
          <w:b/>
          <w:color w:val="17212B"/>
          <w:sz w:val="22"/>
          <w:lang w:eastAsia="zh-CN"/>
        </w:rPr>
        <w:t>完成首次绑定。 新设备安装并启用插件后，让 Agent 将门户一次性 bootstrap_url 仅作为本地 jiaotang_kb_setup 工具参数调用一次；同机已绑定设备直接复用系统凭据。</w:t>
      </w:r>
      <w:r>
        <w:rPr>
          <w:rFonts w:ascii="Hiragino Sans GB" w:hAnsi="Hiragino Sans GB" w:eastAsia="Hiragino Sans GB" w:cs="Hiragino Sans GB"/>
          <w:color w:val="17212B"/>
          <w:sz w:val="22"/>
          <w:lang w:eastAsia="zh-CN"/>
        </w:rPr>
      </w:r>
    </w:p>
    <w:p>
      <w:pPr>
        <w:numPr>
          <w:ilvl w:val="0"/>
          <w:numId w:val="12"/>
        </w:numPr>
        <w:spacing w:after="0" w:line="252" w:lineRule="auto"/>
        <w:ind w:left="540" w:hanging="270"/>
      </w:pPr>
      <w:r>
        <w:rPr>
          <w:rFonts w:ascii="Hiragino Sans GB" w:hAnsi="Hiragino Sans GB" w:eastAsia="Hiragino Sans GB" w:cs="Hiragino Sans GB"/>
          <w:b/>
          <w:color w:val="17212B"/>
          <w:sz w:val="22"/>
          <w:lang w:eastAsia="zh-CN"/>
        </w:rPr>
        <w:t xml:space="preserve">检查连接。 </w:t>
      </w:r>
      <w:r>
        <w:rPr>
          <w:rFonts w:ascii="Hiragino Sans GB" w:hAnsi="Hiragino Sans GB" w:eastAsia="Hiragino Sans GB" w:cs="Hiragino Sans GB"/>
          <w:color w:val="17212B"/>
          <w:sz w:val="22"/>
          <w:lang w:eastAsia="zh-CN"/>
        </w:rPr>
        <w:t>让 Agent 检查知识库连接状态，确认 MCP 工具列表可见，并成功调用任一只读状态或检索工具。</w:t>
      </w:r>
    </w:p>
    <w:p>
      <w:pPr>
        <w:numPr>
          <w:ilvl w:val="0"/>
          <w:numId w:val="12"/>
        </w:numPr>
        <w:spacing w:after="0" w:line="252" w:lineRule="auto"/>
        <w:ind w:left="540" w:hanging="270"/>
      </w:pPr>
      <w:r>
        <w:rPr>
          <w:rFonts w:ascii="Hiragino Sans GB" w:hAnsi="Hiragino Sans GB" w:eastAsia="Hiragino Sans GB" w:cs="Hiragino Sans GB"/>
          <w:b/>
          <w:color w:val="17212B"/>
          <w:sz w:val="22"/>
          <w:lang w:eastAsia="zh-CN"/>
        </w:rPr>
        <w:t xml:space="preserve">完成验收。 </w:t>
      </w:r>
      <w:r>
        <w:rPr>
          <w:rFonts w:ascii="Hiragino Sans GB" w:hAnsi="Hiragino Sans GB" w:eastAsia="Hiragino Sans GB" w:cs="Hiragino Sans GB"/>
          <w:color w:val="17212B"/>
          <w:sz w:val="22"/>
          <w:lang w:eastAsia="zh-CN"/>
        </w:rPr>
        <w:t>连接成功后再安装 OCR、PDF、Word、PPT、Excel 和联网检索 Skills；确认插件启用且 49 项可见。</w:t>
      </w:r>
    </w:p>
    <w:p>
      <w:pPr>
        <w:spacing w:before="40" w:after="0" w:line="252" w:lineRule="auto"/>
        <w:ind w:left="317" w:right="317"/>
        <w:shd w:val="clear" w:fill="F4F6F9"/>
      </w:pPr>
      <w:r>
        <w:rPr>
          <w:rFonts w:ascii="Hiragino Sans GB" w:hAnsi="Hiragino Sans GB" w:eastAsia="Hiragino Sans GB" w:cs="Hiragino Sans GB"/>
          <w:color w:val="17212B"/>
          <w:sz w:val="18"/>
          <w:lang w:eastAsia="zh-CN"/>
        </w:rPr>
        <w:t>/plugin marketplace add &lt;持久保存的 jiaotang 目录&gt;    →    安装 jiaotang-workbuddy-skills@jiaotang</w:t>
      </w:r>
    </w:p>
    <w:p>
      <w:pPr>
        <w:pStyle w:val="Heading2"/>
        <w:pageBreakBefore w:val="0"/>
      </w:pPr>
      <w:r>
        <w:rPr>
          <w:rFonts w:ascii="Hiragino Sans GB" w:hAnsi="Hiragino Sans GB" w:eastAsia="Hiragino Sans GB" w:cs="Hiragino Sans GB"/>
          <w:b/>
          <w:color w:val="2E74B5"/>
          <w:sz w:val="26"/>
          <w:lang w:eastAsia="zh-CN"/>
        </w:rPr>
        <w:t>远程适配器只更新数据，不下发命令</w:t>
      </w:r>
    </w:p>
    <w:p>
      <w:pPr>
        <w:numPr>
          <w:ilvl w:val="0"/>
          <w:numId w:val="13"/>
        </w:numPr>
        <w:spacing w:after="0" w:line="252" w:lineRule="auto"/>
        <w:ind w:left="540" w:hanging="270"/>
      </w:pPr>
      <w:r>
        <w:rPr>
          <w:rFonts w:ascii="Hiragino Sans GB" w:hAnsi="Hiragino Sans GB" w:eastAsia="Hiragino Sans GB" w:cs="Hiragino Sans GB"/>
          <w:b/>
          <w:color w:val="17212B"/>
          <w:sz w:val="22"/>
          <w:lang w:eastAsia="zh-CN"/>
        </w:rPr>
        <w:t xml:space="preserve">固定来源。 </w:t>
      </w:r>
      <w:r>
        <w:rPr>
          <w:rFonts w:ascii="Hiragino Sans GB" w:hAnsi="Hiragino Sans GB" w:eastAsia="Hiragino Sans GB" w:cs="Hiragino Sans GB"/>
          <w:color w:val="17212B"/>
          <w:sz w:val="22"/>
          <w:lang w:eastAsia="zh-CN"/>
        </w:rPr>
        <w:t>只从焦糖门户读取平台清单、签名和签名元数据。</w:t>
      </w:r>
    </w:p>
    <w:p>
      <w:pPr>
        <w:numPr>
          <w:ilvl w:val="0"/>
          <w:numId w:val="13"/>
        </w:numPr>
        <w:spacing w:after="0" w:line="252" w:lineRule="auto"/>
        <w:ind w:left="540" w:hanging="270"/>
      </w:pPr>
      <w:r>
        <w:rPr>
          <w:rFonts w:ascii="Hiragino Sans GB" w:hAnsi="Hiragino Sans GB" w:eastAsia="Hiragino Sans GB" w:cs="Hiragino Sans GB"/>
          <w:b/>
          <w:color w:val="17212B"/>
          <w:sz w:val="22"/>
          <w:lang w:eastAsia="zh-CN"/>
        </w:rPr>
        <w:t xml:space="preserve">固定发布者。 </w:t>
      </w:r>
      <w:r>
        <w:rPr>
          <w:rFonts w:ascii="Hiragino Sans GB" w:hAnsi="Hiragino Sans GB" w:eastAsia="Hiragino Sans GB" w:cs="Hiragino Sans GB"/>
          <w:color w:val="17212B"/>
          <w:sz w:val="22"/>
          <w:lang w:eastAsia="zh-CN"/>
        </w:rPr>
        <w:t>内置 Ed25519 公钥和指纹验签，namespace 与 identity 必须匹配。</w:t>
      </w:r>
    </w:p>
    <w:p>
      <w:pPr>
        <w:numPr>
          <w:ilvl w:val="0"/>
          <w:numId w:val="13"/>
        </w:numPr>
        <w:spacing w:after="0" w:line="252" w:lineRule="auto"/>
        <w:ind w:left="540" w:hanging="270"/>
      </w:pPr>
      <w:r>
        <w:rPr>
          <w:rFonts w:ascii="Hiragino Sans GB" w:hAnsi="Hiragino Sans GB" w:eastAsia="Hiragino Sans GB" w:cs="Hiragino Sans GB"/>
          <w:b/>
          <w:color w:val="17212B"/>
          <w:sz w:val="22"/>
          <w:lang w:eastAsia="zh-CN"/>
        </w:rPr>
        <w:t xml:space="preserve">严格 schema。 </w:t>
      </w:r>
      <w:r>
        <w:rPr>
          <w:rFonts w:ascii="Hiragino Sans GB" w:hAnsi="Hiragino Sans GB" w:eastAsia="Hiragino Sans GB" w:cs="Hiragino Sans GB"/>
          <w:color w:val="17212B"/>
          <w:sz w:val="22"/>
          <w:lang w:eastAsia="zh-CN"/>
        </w:rPr>
        <w:t>只允许平台、能力、路径、说明和固定导入模式；命令、脚本、URL 与未知字段一律拒绝。</w:t>
      </w:r>
    </w:p>
    <w:p>
      <w:pPr>
        <w:numPr>
          <w:ilvl w:val="0"/>
          <w:numId w:val="13"/>
        </w:numPr>
        <w:spacing w:after="0" w:line="252" w:lineRule="auto"/>
        <w:ind w:left="540" w:hanging="270"/>
      </w:pPr>
      <w:r>
        <w:rPr>
          <w:rFonts w:ascii="Hiragino Sans GB" w:hAnsi="Hiragino Sans GB" w:eastAsia="Hiragino Sans GB" w:cs="Hiragino Sans GB"/>
          <w:b/>
          <w:color w:val="17212B"/>
          <w:sz w:val="22"/>
          <w:lang w:eastAsia="zh-CN"/>
        </w:rPr>
        <w:t>版本保护。 新 revision 验证通过才缓存；失败时继续使用当前已验证版本或内置版本。只有新增可执行逻辑、私有 API 或扩大写入权限时，才升级管理器并重走双端发行门禁。</w:t>
      </w:r>
      <w:r>
        <w:rPr>
          <w:rFonts w:ascii="Hiragino Sans GB" w:hAnsi="Hiragino Sans GB" w:eastAsia="Hiragino Sans GB" w:cs="Hiragino Sans GB"/>
          <w:color w:val="17212B"/>
          <w:sz w:val="22"/>
          <w:lang w:eastAsia="zh-CN"/>
        </w:rPr>
      </w:r>
    </w:p>
    <w:p>
      <w:pPr>
        <w:spacing w:line="252" w:lineRule="auto" w:after="0"/>
        <w:sectPr>
          <w:headerReference w:type="default" r:id="rId17"/>
          <w:footerReference w:type="default" r:id="rId1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pageBreakBefore w:val="0"/>
      </w:pPr>
      <w:r>
        <w:rPr>
          <w:rFonts w:ascii="Hiragino Sans GB" w:hAnsi="Hiragino Sans GB" w:eastAsia="Hiragino Sans GB" w:cs="Hiragino Sans GB"/>
          <w:b/>
          <w:color w:val="2E74B5"/>
          <w:sz w:val="32"/>
          <w:lang w:eastAsia="zh-CN"/>
        </w:rPr>
        <w:t>4  安全、审计、回滚与验收</w:t>
      </w:r>
    </w:p>
    <w:p>
      <w:pPr>
        <w:pStyle w:val="Heading2"/>
        <w:pageBreakBefore w:val="0"/>
      </w:pPr>
      <w:r>
        <w:rPr>
          <w:rFonts w:ascii="Hiragino Sans GB" w:hAnsi="Hiragino Sans GB" w:eastAsia="Hiragino Sans GB" w:cs="Hiragino Sans GB"/>
          <w:b/>
          <w:color w:val="2E74B5"/>
          <w:sz w:val="26"/>
          <w:lang w:eastAsia="zh-CN"/>
        </w:rPr>
        <w:t>两条信任链要分开看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8E0E7"/>
          <w:left w:val="single" w:sz="6" w:space="0" w:color="D8E0E7"/>
          <w:bottom w:val="single" w:sz="6" w:space="0" w:color="D8E0E7"/>
          <w:right w:val="single" w:sz="6" w:space="0" w:color="D8E0E7"/>
          <w:insideH w:val="single" w:sz="6" w:space="0" w:color="D8E0E7"/>
          <w:insideV w:val="single" w:sz="6" w:space="0" w:color="D8E0E7"/>
        </w:tblBorders>
      </w:tblPr>
      <w:tblGrid>
        <w:gridCol w:w="1750"/>
        <w:gridCol w:w="3500"/>
        <w:gridCol w:w="4110"/>
      </w:tblGrid>
      <w:tr>
        <w:trPr>
          <w:cantSplit w:val="1"/>
          <w:tblHeader w:val="true"/>
        </w:trPr>
        <w:tc>
          <w:tcPr>
            <w:tcW w:type="dxa" w:w="17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fill="E8EEF5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32B3A"/>
                <w:sz w:val="18"/>
                <w:lang w:eastAsia="zh-CN"/>
              </w:rPr>
              <w:t>对象</w:t>
            </w:r>
          </w:p>
        </w:tc>
        <w:tc>
          <w:tcPr>
            <w:tcW w:type="dxa" w:w="3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fill="E8EEF5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132B3A"/>
                <w:sz w:val="18"/>
                <w:lang w:eastAsia="zh-CN"/>
              </w:rPr>
              <w:t>门禁</w:t>
            </w:r>
          </w:p>
        </w:tc>
        <w:tc>
          <w:tcPr>
            <w:tcW w:type="dxa" w:w="41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fill="E8EEF5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132B3A"/>
                <w:sz w:val="18"/>
                <w:lang w:eastAsia="zh-CN"/>
              </w:rPr>
              <w:t>结论</w:t>
            </w:r>
          </w:p>
        </w:tc>
      </w:tr>
      <w:tr>
        <w:trPr>
          <w:cantSplit w:val="1"/>
        </w:trPr>
        <w:tc>
          <w:tcPr>
            <w:tcW w:type="dxa" w:w="17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7212B"/>
                <w:sz w:val="18"/>
                <w:lang w:eastAsia="zh-CN"/>
              </w:rPr>
              <w:t>桌面应用</w:t>
            </w:r>
          </w:p>
        </w:tc>
        <w:tc>
          <w:tcPr>
            <w:tcW w:type="dxa" w:w="3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7212B"/>
                <w:sz w:val="18"/>
                <w:lang w:eastAsia="zh-CN"/>
              </w:rPr>
              <w:t>未签名本机授权；发布页提供版本、SHA-256 与发行审计</w:t>
            </w:r>
          </w:p>
        </w:tc>
        <w:tc>
          <w:tcPr>
            <w:tcW w:type="dxa" w:w="41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7212B"/>
                <w:sz w:val="18"/>
                <w:lang w:eastAsia="zh-CN"/>
              </w:rPr>
              <w:t>确认下载来源后，由用户按本机策略决定是否运行</w:t>
            </w:r>
          </w:p>
        </w:tc>
      </w:tr>
      <w:tr>
        <w:trPr>
          <w:cantSplit w:val="1"/>
        </w:trPr>
        <w:tc>
          <w:tcPr>
            <w:tcW w:type="dxa" w:w="17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7212B"/>
                <w:sz w:val="18"/>
                <w:lang w:eastAsia="zh-CN"/>
              </w:rPr>
              <w:t>Skills 下载</w:t>
            </w:r>
          </w:p>
        </w:tc>
        <w:tc>
          <w:tcPr>
            <w:tcW w:type="dxa" w:w="3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7212B"/>
                <w:sz w:val="18"/>
                <w:lang w:eastAsia="zh-CN"/>
              </w:rPr>
              <w:t>HTTPS 同源、发布通道 SHA-256</w:t>
            </w:r>
          </w:p>
        </w:tc>
        <w:tc>
          <w:tcPr>
            <w:tcW w:type="dxa" w:w="41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7212B"/>
                <w:sz w:val="18"/>
                <w:lang w:eastAsia="zh-CN"/>
              </w:rPr>
              <w:t>整体文件被替换时停止</w:t>
            </w:r>
          </w:p>
        </w:tc>
      </w:tr>
      <w:tr>
        <w:trPr>
          <w:cantSplit w:val="1"/>
        </w:trPr>
        <w:tc>
          <w:tcPr>
            <w:tcW w:type="dxa" w:w="17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7212B"/>
                <w:sz w:val="18"/>
                <w:lang w:eastAsia="zh-CN"/>
              </w:rPr>
              <w:t>发布者</w:t>
            </w:r>
          </w:p>
        </w:tc>
        <w:tc>
          <w:tcPr>
            <w:tcW w:type="dxa" w:w="3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7212B"/>
                <w:sz w:val="18"/>
                <w:lang w:eastAsia="zh-CN"/>
              </w:rPr>
              <w:t>固定 Ed25519 公钥、指纹、identity 与 namespace</w:t>
            </w:r>
          </w:p>
        </w:tc>
        <w:tc>
          <w:tcPr>
            <w:tcW w:type="dxa" w:w="41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7212B"/>
                <w:sz w:val="18"/>
                <w:lang w:eastAsia="zh-CN"/>
              </w:rPr>
              <w:t>签名不匹配时停止</w:t>
            </w:r>
          </w:p>
        </w:tc>
      </w:tr>
      <w:tr>
        <w:trPr>
          <w:cantSplit w:val="1"/>
        </w:trPr>
        <w:tc>
          <w:tcPr>
            <w:tcW w:type="dxa" w:w="17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7212B"/>
                <w:sz w:val="18"/>
                <w:lang w:eastAsia="zh-CN"/>
              </w:rPr>
              <w:t>包内内容</w:t>
            </w:r>
          </w:p>
        </w:tc>
        <w:tc>
          <w:tcPr>
            <w:tcW w:type="dxa" w:w="3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7212B"/>
                <w:sz w:val="18"/>
                <w:lang w:eastAsia="zh-CN"/>
              </w:rPr>
              <w:t>安全路径、解压上限、签名清单与逐文件 SHA-256</w:t>
            </w:r>
          </w:p>
        </w:tc>
        <w:tc>
          <w:tcPr>
            <w:tcW w:type="dxa" w:w="41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7212B"/>
                <w:sz w:val="18"/>
                <w:lang w:eastAsia="zh-CN"/>
              </w:rPr>
              <w:t>缺失、夹带或哈希不符时停止</w:t>
            </w:r>
          </w:p>
        </w:tc>
      </w:tr>
      <w:tr>
        <w:trPr>
          <w:cantSplit w:val="1"/>
        </w:trPr>
        <w:tc>
          <w:tcPr>
            <w:tcW w:type="dxa" w:w="17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7212B"/>
                <w:sz w:val="18"/>
                <w:lang w:eastAsia="zh-CN"/>
              </w:rPr>
              <w:t>平台适配器</w:t>
            </w:r>
          </w:p>
        </w:tc>
        <w:tc>
          <w:tcPr>
            <w:tcW w:type="dxa" w:w="3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7212B"/>
                <w:sz w:val="18"/>
                <w:lang w:eastAsia="zh-CN"/>
              </w:rPr>
              <w:t>签名、schema、兼容版本和 revision 保护</w:t>
            </w:r>
          </w:p>
        </w:tc>
        <w:tc>
          <w:tcPr>
            <w:tcW w:type="dxa" w:w="41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7212B"/>
                <w:sz w:val="18"/>
                <w:lang w:eastAsia="zh-CN"/>
              </w:rPr>
              <w:t>失败时不执行远程内容</w:t>
            </w:r>
          </w:p>
        </w:tc>
      </w:tr>
    </w:tbl>
    <w:p>
      <w:pPr>
        <w:pStyle w:val="Heading2"/>
        <w:pageBreakBefore w:val="0"/>
      </w:pPr>
      <w:r>
        <w:rPr>
          <w:rFonts w:ascii="Hiragino Sans GB" w:hAnsi="Hiragino Sans GB" w:eastAsia="Hiragino Sans GB" w:cs="Hiragino Sans GB"/>
          <w:b/>
          <w:color w:val="2E74B5"/>
          <w:sz w:val="26"/>
          <w:lang w:eastAsia="zh-CN"/>
        </w:rPr>
        <w:t>查看审计与执行回滚</w:t>
      </w:r>
    </w:p>
    <w:p>
      <w:pPr>
        <w:numPr>
          <w:ilvl w:val="0"/>
          <w:numId w:val="14"/>
        </w:numPr>
        <w:spacing w:after="80" w:line="300" w:lineRule="auto"/>
        <w:ind w:left="540" w:hanging="270"/>
      </w:pPr>
      <w:r>
        <w:rPr>
          <w:rFonts w:ascii="Hiragino Sans GB" w:hAnsi="Hiragino Sans GB" w:eastAsia="Hiragino Sans GB" w:cs="Hiragino Sans GB"/>
          <w:color w:val="17212B"/>
          <w:sz w:val="22"/>
          <w:lang w:eastAsia="zh-CN"/>
        </w:rPr>
        <w:t>在“安全中心”点击“打开审计日志”。日志记录扫描、适配器更新、包验签、导入与回滚的开始、结果和失败原因。</w:t>
      </w:r>
    </w:p>
    <w:p>
      <w:pPr>
        <w:numPr>
          <w:ilvl w:val="0"/>
          <w:numId w:val="14"/>
        </w:numPr>
        <w:spacing w:after="80" w:line="300" w:lineRule="auto"/>
        <w:ind w:left="540" w:hanging="270"/>
      </w:pPr>
      <w:r>
        <w:rPr>
          <w:rFonts w:ascii="Hiragino Sans GB" w:hAnsi="Hiragino Sans GB" w:eastAsia="Hiragino Sans GB" w:cs="Hiragino Sans GB"/>
          <w:color w:val="17212B"/>
          <w:sz w:val="22"/>
          <w:lang w:eastAsia="zh-CN"/>
        </w:rPr>
        <w:t>访问令牌、bootstrap、密码、设备私钥和其他敏感字段只记录为脱敏占位，不写入普通日志。</w:t>
      </w:r>
    </w:p>
    <w:p>
      <w:pPr>
        <w:numPr>
          <w:ilvl w:val="0"/>
          <w:numId w:val="14"/>
        </w:numPr>
        <w:spacing w:after="80" w:line="300" w:lineRule="auto"/>
        <w:ind w:left="540" w:hanging="270"/>
      </w:pPr>
      <w:r>
        <w:rPr>
          <w:rFonts w:ascii="Hiragino Sans GB" w:hAnsi="Hiragino Sans GB" w:eastAsia="Hiragino Sans GB" w:cs="Hiragino Sans GB"/>
          <w:color w:val="17212B"/>
          <w:sz w:val="22"/>
          <w:lang w:eastAsia="zh-CN"/>
        </w:rPr>
        <w:t>每次更新已托管目录前，旧内容进入同盘 backups；回滚前，当前版本先进入 displaced 恢复区。</w:t>
      </w:r>
    </w:p>
    <w:p>
      <w:pPr>
        <w:numPr>
          <w:ilvl w:val="0"/>
          <w:numId w:val="14"/>
        </w:numPr>
        <w:spacing w:after="80" w:line="300" w:lineRule="auto"/>
        <w:ind w:left="540" w:hanging="270"/>
      </w:pPr>
      <w:r>
        <w:rPr>
          <w:rFonts w:ascii="Hiragino Sans GB" w:hAnsi="Hiragino Sans GB" w:eastAsia="Hiragino Sans GB" w:cs="Hiragino Sans GB"/>
          <w:color w:val="17212B"/>
          <w:sz w:val="22"/>
          <w:lang w:eastAsia="zh-CN"/>
        </w:rPr>
        <w:t>未知同名目录默认视为冲突并阻断，不自动覆盖个人项目、第三方 Skills 或平台私有配置。</w:t>
      </w:r>
    </w:p>
    <w:p>
      <w:pPr>
        <w:pStyle w:val="Heading2"/>
        <w:pageBreakBefore/>
      </w:pPr>
      <w:r>
        <w:rPr>
          <w:rFonts w:ascii="Hiragino Sans GB" w:hAnsi="Hiragino Sans GB" w:eastAsia="Hiragino Sans GB" w:cs="Hiragino Sans GB"/>
          <w:b/>
          <w:color w:val="2E74B5"/>
          <w:sz w:val="26"/>
          <w:lang w:eastAsia="zh-CN"/>
        </w:rPr>
        <w:t>发布后验收清单</w:t>
      </w:r>
    </w:p>
    <w:p>
      <w:pPr>
        <w:numPr>
          <w:ilvl w:val="0"/>
          <w:numId w:val="15"/>
        </w:numPr>
        <w:spacing w:after="80" w:line="300" w:lineRule="auto"/>
        <w:ind w:left="540" w:hanging="270"/>
      </w:pPr>
      <w:r>
        <w:rPr>
          <w:rFonts w:ascii="Hiragino Sans GB" w:hAnsi="Hiragino Sans GB" w:eastAsia="Hiragino Sans GB" w:cs="Hiragino Sans GB"/>
          <w:color w:val="17212B"/>
          <w:sz w:val="21"/>
          <w:lang w:eastAsia="zh-CN"/>
        </w:rPr>
        <w:t>管理器“关于”或安全中心显示版本 0.2.0，Skills 清单显示 V1.4.2 与 49 项。</w:t>
      </w:r>
    </w:p>
    <w:p>
      <w:pPr>
        <w:numPr>
          <w:ilvl w:val="0"/>
          <w:numId w:val="15"/>
        </w:numPr>
        <w:spacing w:after="80" w:line="300" w:lineRule="auto"/>
        <w:ind w:left="540" w:hanging="270"/>
      </w:pPr>
      <w:r>
        <w:rPr>
          <w:rFonts w:ascii="Hiragino Sans GB" w:hAnsi="Hiragino Sans GB" w:eastAsia="Hiragino Sans GB" w:cs="Hiragino Sans GB"/>
          <w:color w:val="17212B"/>
          <w:sz w:val="21"/>
          <w:lang w:eastAsia="zh-CN"/>
        </w:rPr>
        <w:t>点击扫描后，平台数量、命中路径、耗时与适配器 revision 均有结果。</w:t>
      </w:r>
    </w:p>
    <w:p>
      <w:pPr>
        <w:numPr>
          <w:ilvl w:val="0"/>
          <w:numId w:val="15"/>
        </w:numPr>
        <w:spacing w:after="80" w:line="300" w:lineRule="auto"/>
        <w:ind w:left="540" w:hanging="270"/>
      </w:pPr>
      <w:r>
        <w:rPr>
          <w:rFonts w:ascii="Hiragino Sans GB" w:hAnsi="Hiragino Sans GB" w:eastAsia="Hiragino Sans GB" w:cs="Hiragino Sans GB"/>
          <w:color w:val="17212B"/>
          <w:sz w:val="21"/>
          <w:lang w:eastAsia="zh-CN"/>
        </w:rPr>
        <w:t>通用版下载、解压和导入计划没有未处理冲突；导入后新建会话能识别 Skills。</w:t>
      </w:r>
    </w:p>
    <w:p>
      <w:pPr>
        <w:numPr>
          <w:ilvl w:val="0"/>
          <w:numId w:val="15"/>
        </w:numPr>
        <w:spacing w:after="80" w:line="300" w:lineRule="auto"/>
        <w:ind w:left="540" w:hanging="270"/>
      </w:pPr>
      <w:r>
        <w:rPr>
          <w:rFonts w:ascii="Hiragino Sans GB" w:hAnsi="Hiragino Sans GB" w:eastAsia="Hiragino Sans GB" w:cs="Hiragino Sans GB"/>
          <w:color w:val="17212B"/>
          <w:sz w:val="21"/>
          <w:lang w:eastAsia="zh-CN"/>
        </w:rPr>
        <w:t>WorkBuddy 使用通用跨平台包，并在应用内完成市场添加、安装与启用；首次绑定通过本地 jiaotang_kb_setup 工具完成。</w:t>
      </w:r>
    </w:p>
    <w:p>
      <w:pPr>
        <w:numPr>
          <w:ilvl w:val="0"/>
          <w:numId w:val="15"/>
        </w:numPr>
        <w:spacing w:after="80" w:line="300" w:lineRule="auto"/>
        <w:ind w:left="540" w:hanging="270"/>
      </w:pPr>
      <w:r>
        <w:rPr>
          <w:rFonts w:ascii="Hiragino Sans GB" w:hAnsi="Hiragino Sans GB" w:eastAsia="Hiragino Sans GB" w:cs="Hiragino Sans GB"/>
          <w:color w:val="17212B"/>
          <w:sz w:val="21"/>
          <w:lang w:eastAsia="zh-CN"/>
        </w:rPr>
        <w:t>审计日志存在本轮扫描、验签和导入事件；托管目录存在可恢复的回滚点。</w:t>
      </w:r>
    </w:p>
    <w:p>
      <w:pPr>
        <w:numPr>
          <w:ilvl w:val="0"/>
          <w:numId w:val="15"/>
        </w:numPr>
        <w:spacing w:after="80" w:line="300" w:lineRule="auto"/>
        <w:ind w:left="540" w:hanging="270"/>
      </w:pPr>
      <w:r>
        <w:rPr>
          <w:rFonts w:ascii="Hiragino Sans GB" w:hAnsi="Hiragino Sans GB" w:eastAsia="Hiragino Sans GB" w:cs="Hiragino Sans GB"/>
          <w:color w:val="17212B"/>
          <w:sz w:val="21"/>
          <w:lang w:eastAsia="zh-CN"/>
        </w:rPr>
        <w:t>系统或企业策略阻止未签名应用时，停止原生安装并改用 HTTPS PWA。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FFF8E8"/>
          <w:left w:val="single" w:sz="4" w:space="0" w:color="FFF8E8"/>
          <w:bottom w:val="single" w:sz="4" w:space="0" w:color="FFF8E8"/>
          <w:right w:val="single" w:sz="4" w:space="0" w:color="FFF8E8"/>
          <w:insideH w:val="single" w:sz="4" w:space="0" w:color="FFF8E8"/>
          <w:insideV w:val="single" w:sz="4" w:space="0" w:color="FFF8E8"/>
        </w:tblBorders>
      </w:tblPr>
      <w:tblGrid>
        <w:gridCol w:w="9360"/>
      </w:tblGrid>
      <w:tr>
        <w:trPr>
          <w:cantSplit w:val="1"/>
          <w:tblHeader w:val="true"/>
        </w:trPr>
        <w:tc>
          <w:tcPr>
            <w:tcW w:type="dxa" w:w="9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fill="FFF8E8"/>
          </w:tcPr>
          <w:p>
            <w:pPr>
              <w:widowControl/>
              <w:spacing w:before="0" w:after="0" w:line="252" w:lineRule="auto"/>
            </w:pPr>
            <w:r>
              <w:rPr>
                <w:rFonts w:ascii="Hiragino Sans GB" w:hAnsi="Hiragino Sans GB" w:eastAsia="Hiragino Sans GB" w:cs="Hiragino Sans GB"/>
                <w:b/>
                <w:color w:val="B98532"/>
                <w:sz w:val="21"/>
                <w:lang w:eastAsia="zh-CN"/>
              </w:rPr>
              <w:t>遇到问题先这样处理</w:t>
            </w:r>
          </w:p>
          <w:p>
            <w:pPr>
              <w:widowControl/>
              <w:spacing w:before="0" w:after="0" w:line="252" w:lineRule="auto"/>
            </w:pPr>
            <w:r>
              <w:rPr>
                <w:rFonts w:ascii="Hiragino Sans GB" w:hAnsi="Hiragino Sans GB" w:eastAsia="Hiragino Sans GB" w:cs="Hiragino Sans GB"/>
                <w:color w:val="17212B"/>
                <w:sz w:val="20"/>
                <w:lang w:eastAsia="zh-CN"/>
              </w:rPr>
              <w:t>未发现平台：确认应用已安装后重新扫描，或改走平台官方导入界面。出现目录冲突：不要强制覆盖，先确认目录归属并备份。签名或 SHA-256 不一致：立即停止，不重新下载同名文件反复尝试。回滚记录缺失：不要手工删除当前目录，先从审计日志确认目标路径和上一次成功操作。</w:t>
            </w:r>
          </w:p>
        </w:tc>
      </w:tr>
    </w:tbl>
    <w:p>
      <w:pPr>
        <w:sectPr>
          <w:headerReference w:type="default" r:id="rId19"/>
          <w:footerReference w:type="default" r:id="rId20"/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eastAsia="Hiragino Sans GB" w:ascii="Hiragino Sans GB" w:hAnsi="Hiragino Sans GB" w:cs="Hiragino Sans GB"/>
          <w:lang w:eastAsia="zh-CN"/>
        </w:rPr>
        <w:t>5  项目算法、交付契约与专利案卷</w:t>
      </w:r>
    </w:p>
    <w:p>
      <w:pPr>
        <w:pStyle w:val="Heading2"/>
      </w:pPr>
      <w:r>
        <w:rPr>
          <w:rFonts w:eastAsia="Hiragino Sans GB" w:ascii="Hiragino Sans GB" w:hAnsi="Hiragino Sans GB" w:cs="Hiragino Sans GB"/>
          <w:lang w:eastAsia="zh-CN"/>
        </w:rPr>
        <w:t>系统如何评估一家企业</w:t>
      </w:r>
    </w:p>
    <w:p>
      <w:pPr>
        <w:spacing w:line="276" w:lineRule="auto" w:after="40"/>
      </w:pPr>
      <w:r>
        <w:rPr>
          <w:rFonts w:eastAsia="Hiragino Sans GB" w:ascii="Hiragino Sans GB" w:hAnsi="Hiragino Sans GB" w:cs="Hiragino Sans GB"/>
          <w:lang w:eastAsia="zh-CN"/>
        </w:rPr>
        <w:t>1. 锚定企业主体和目标属地，识别标准项目名称、项目族和历史别名。</w:t>
      </w:r>
    </w:p>
    <w:p>
      <w:pPr>
        <w:spacing w:line="276" w:lineRule="auto" w:after="40"/>
      </w:pPr>
      <w:r>
        <w:rPr>
          <w:rFonts w:eastAsia="Hiragino Sans GB" w:ascii="Hiragino Sans GB" w:hAnsi="Hiragino Sans GB" w:cs="Hiragino Sans GB"/>
          <w:lang w:eastAsia="zh-CN"/>
        </w:rPr>
        <w:t>2. 选择正式判断、当年申报前准备、历史回放、预测或回测等政策时间类型。</w:t>
      </w:r>
    </w:p>
    <w:p>
      <w:pPr>
        <w:spacing w:line="276" w:lineRule="auto" w:after="40"/>
      </w:pPr>
      <w:r>
        <w:rPr>
          <w:rFonts w:eastAsia="Hiragino Sans GB" w:ascii="Hiragino Sans GB" w:hAnsi="Hiragino Sans GB" w:cs="Hiragino Sans GB"/>
          <w:lang w:eastAsia="zh-CN"/>
        </w:rPr>
        <w:t>3. 读取稳定管理办法、当年度通知、属地规则和适用的征求意见前瞻层。</w:t>
      </w:r>
    </w:p>
    <w:p>
      <w:pPr>
        <w:spacing w:line="276" w:lineRule="auto" w:after="40"/>
      </w:pPr>
      <w:r>
        <w:rPr>
          <w:rFonts w:eastAsia="Hiragino Sans GB" w:ascii="Hiragino Sans GB" w:hAnsi="Hiragino Sans GB" w:cs="Hiragino Sans GB"/>
          <w:lang w:eastAsia="zh-CN"/>
        </w:rPr>
        <w:t>4. 将企业事实送入项目规则树，执行叶节点阈值和 all/any 组合判断。</w:t>
      </w:r>
    </w:p>
    <w:p>
      <w:pPr>
        <w:spacing w:line="276" w:lineRule="auto" w:after="40"/>
      </w:pPr>
      <w:r>
        <w:rPr>
          <w:rFonts w:eastAsia="Hiragino Sans GB" w:ascii="Hiragino Sans GB" w:hAnsi="Hiragino Sans GB" w:cs="Hiragino Sans GB"/>
          <w:lang w:eastAsia="zh-CN"/>
        </w:rPr>
        <w:t>5. 输出符合、不符合、待补材料或当前无法判断，并列明政策来源与事实缺口。</w:t>
      </w:r>
    </w:p>
    <w:p>
      <w:pPr>
        <w:spacing w:line="276" w:lineRule="auto" w:after="40"/>
      </w:pPr>
      <w:r>
        <w:rPr>
          <w:rFonts w:eastAsia="Hiragino Sans GB" w:ascii="Hiragino Sans GB" w:hAnsi="Hiragino Sans GB" w:cs="Hiragino Sans GB"/>
          <w:lang w:eastAsia="zh-CN"/>
        </w:rPr>
        <w:t>系统不会因为政策库暂时未命中就断言项目不存在，也不会用省级政策替代必须由市、区县规则决定的结论。已核验且明确替代旧政策的征求意见稿，在申报尚未开放时作为准备与预测主基线，但始终标注为尚未正式生效。</w:t>
      </w:r>
    </w:p>
    <w:p>
      <w:pPr>
        <w:pStyle w:val="Heading2"/>
      </w:pPr>
      <w:r>
        <w:rPr>
          <w:rFonts w:eastAsia="Hiragino Sans GB" w:ascii="Hiragino Sans GB" w:hAnsi="Hiragino Sans GB" w:cs="Hiragino Sans GB"/>
          <w:lang w:eastAsia="zh-CN"/>
        </w:rPr>
        <w:t>企业项目身份数字孪生</w:t>
      </w:r>
    </w:p>
    <w:p>
      <w:pPr>
        <w:spacing w:line="276" w:lineRule="auto" w:after="40"/>
      </w:pPr>
      <w:r>
        <w:rPr>
          <w:rFonts w:eastAsia="Hiragino Sans GB" w:ascii="Hiragino Sans GB" w:hAnsi="Hiragino Sans GB" w:cs="Hiragino Sans GB"/>
          <w:lang w:eastAsia="zh-CN"/>
        </w:rPr>
        <w:t>系统把名单身份和规则判断分开保存。认定年度、认定时名称和认定时地区以名单原文为准；当前企业名称、统一社会信用代码、现注册地址和登记机关来自当前工商核验。更名、迁址、复评、复核、失效和重新认定形成独立生命周期事件，可以回放企业某一年为何具有某项身份。</w:t>
      </w:r>
    </w:p>
    <w:p>
      <w:pPr>
        <w:pStyle w:val="Heading2"/>
        <w:pageBreakBefore/>
      </w:pPr>
      <w:r>
        <w:rPr>
          <w:rFonts w:eastAsia="Hiragino Sans GB" w:ascii="Hiragino Sans GB" w:hAnsi="Hiragino Sans GB" w:cs="Hiragino Sans GB"/>
          <w:lang w:eastAsia="zh-CN"/>
        </w:rPr>
        <w:t>交付契约负责什么</w:t>
      </w:r>
    </w:p>
    <w:p>
      <w:pPr>
        <w:spacing w:line="276" w:lineRule="auto" w:after="40"/>
      </w:pPr>
      <w:r>
        <w:rPr>
          <w:rFonts w:eastAsia="Hiragino Sans GB" w:ascii="Hiragino Sans GB" w:hAnsi="Hiragino Sans GB" w:cs="Hiragino Sans GB"/>
          <w:lang w:eastAsia="zh-CN"/>
        </w:rPr>
        <w:t>算法负责项目规则、政策版本和企业事实判断；交付契约负责最终文件是否完整。不同报告类型分别约束必填章节、结论顺序、政策原文、企业事实、同行对比、证据台账、内置表格、数据口径、文件格式、焦糖品牌、Logo、水印、四问复盘和产物 SHA-256。</w:t>
      </w:r>
    </w:p>
    <w:p>
      <w:pPr>
        <w:spacing w:line="276" w:lineRule="auto" w:after="40"/>
      </w:pPr>
      <w:r>
        <w:rPr>
          <w:rFonts w:eastAsia="Hiragino Sans GB" w:ascii="Hiragino Sans GB" w:hAnsi="Hiragino Sans GB" w:cs="Hiragino Sans GB"/>
          <w:lang w:eastAsia="zh-CN"/>
        </w:rPr>
        <w:t>门禁失败时，自动修复器只生成缺失章节、表格、证据或重新渲染的精确任务，不会用一段“已完成”说明代替实际文件验收。</w:t>
      </w:r>
    </w:p>
    <w:p>
      <w:pPr>
        <w:pStyle w:val="Heading2"/>
      </w:pPr>
      <w:r>
        <w:rPr>
          <w:rFonts w:eastAsia="Hiragino Sans GB" w:ascii="Hiragino Sans GB" w:hAnsi="Hiragino Sans GB" w:cs="Hiragino Sans GB"/>
          <w:lang w:eastAsia="zh-CN"/>
        </w:rPr>
        <w:t>专利入口说明</w:t>
      </w:r>
    </w:p>
    <w:p>
      <w:pPr>
        <w:spacing w:line="276" w:lineRule="auto" w:after="40"/>
      </w:pPr>
      <w:r>
        <w:rPr>
          <w:rFonts w:eastAsia="Hiragino Sans GB" w:ascii="Hiragino Sans GB" w:hAnsi="Hiragino Sans GB" w:cs="Hiragino Sans GB"/>
          <w:lang w:eastAsia="zh-CN"/>
        </w:rPr>
        <w:t>专利任务先进入 jiaotang-patent-router，判断是查新、布局、挖掘、交底、预审、FTO、审查意见还是项目申报证据任务。需要检查中国专利申请 Word 文件时，再进入 checking-patdocx-cn-single-agent。授权、审中、失效和转让取得必须分别标注；FTO 和侵权预警仅作初筛。</w:t>
      </w:r>
    </w:p>
    <w:p>
      <w:pPr>
        <w:spacing w:line="276" w:lineRule="auto" w:after="40"/>
      </w:pPr>
      <w:r>
        <w:rPr>
          <w:rFonts w:eastAsia="Hiragino Sans GB" w:ascii="Hiragino Sans GB" w:hAnsi="Hiragino Sans GB" w:cs="Hiragino Sans GB"/>
          <w:lang w:eastAsia="zh-CN"/>
        </w:rPr>
        <w:t>完整申请文件先创建每案唯一的 patent-case-manifest，再从确认后的事实锁 JSON 通过同一个生成器形成申请 Word 和附图规范。交底、检索证据、权利要求现有技术矩阵、核稿验证、预审建议和提交清单均回写同一清单。提交前契约检查文件哈希、案件版本和依赖关系；阶段错版或缺失会生成具体重建任务。匿名测试夹具只用于升级回归，不能作为真实申请案卷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spacing w:before="0" w:after="0" w:line="240" w:lineRule="auto"/>
      <w:jc w:val="center"/>
    </w:pPr>
    <w:r>
      <w:rPr>
        <w:rFonts w:ascii="Hiragino Sans GB" w:hAnsi="Hiragino Sans GB" w:eastAsia="Hiragino Sans GB" w:cs="Hiragino Sans GB"/>
        <w:color w:val="66717C"/>
        <w:sz w:val="17"/>
        <w:lang w:eastAsia="zh-CN"/>
      </w:rPr>
      <w:t xml:space="preserve">第 </w:t>
    </w:r>
    <w:r>
      <w:rPr>
        <w:rFonts w:ascii="Hiragino Sans GB" w:hAnsi="Hiragino Sans GB" w:eastAsia="Hiragino Sans GB" w:cs="Hiragino Sans GB"/>
        <w:color w:val="66717C"/>
        <w:sz w:val="17"/>
        <w:lang w:eastAsia="zh-CN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Hiragino Sans GB" w:hAnsi="Hiragino Sans GB" w:eastAsia="Hiragino Sans GB" w:cs="Hiragino Sans GB"/>
        <w:color w:val="66717C"/>
        <w:sz w:val="17"/>
        <w:lang w:eastAsia="zh-CN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Hiragino Sans GB" w:hAnsi="Hiragino Sans GB" w:eastAsia="Hiragino Sans GB" w:cs="Hiragino Sans GB"/>
        <w:lang w:eastAsia="zh-CN"/>
      </w:rPr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spacing w:before="0" w:after="0" w:line="240" w:lineRule="auto"/>
      <w:jc w:val="center"/>
    </w:pPr>
    <w:r>
      <w:rPr>
        <w:rFonts w:ascii="Hiragino Sans GB" w:hAnsi="Hiragino Sans GB" w:eastAsia="Hiragino Sans GB" w:cs="Hiragino Sans GB"/>
        <w:color w:val="66717C"/>
        <w:sz w:val="17"/>
        <w:lang w:eastAsia="zh-CN"/>
      </w:rPr>
      <w:t xml:space="preserve">第 </w:t>
    </w:r>
    <w:r>
      <w:rPr>
        <w:rFonts w:ascii="Hiragino Sans GB" w:hAnsi="Hiragino Sans GB" w:eastAsia="Hiragino Sans GB" w:cs="Hiragino Sans GB"/>
        <w:color w:val="66717C"/>
        <w:sz w:val="17"/>
        <w:lang w:eastAsia="zh-CN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Hiragino Sans GB" w:hAnsi="Hiragino Sans GB" w:eastAsia="Hiragino Sans GB" w:cs="Hiragino Sans GB"/>
        <w:color w:val="66717C"/>
        <w:sz w:val="17"/>
        <w:lang w:eastAsia="zh-CN"/>
      </w:rPr>
      <w:t xml:space="preserve"> 页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spacing w:before="0" w:after="0" w:line="240" w:lineRule="auto"/>
      <w:jc w:val="center"/>
    </w:pPr>
    <w:r>
      <w:rPr>
        <w:rFonts w:ascii="Hiragino Sans GB" w:hAnsi="Hiragino Sans GB" w:eastAsia="Hiragino Sans GB" w:cs="Hiragino Sans GB"/>
        <w:color w:val="66717C"/>
        <w:sz w:val="17"/>
        <w:lang w:eastAsia="zh-CN"/>
      </w:rPr>
      <w:t xml:space="preserve">第 </w:t>
    </w:r>
    <w:r>
      <w:rPr>
        <w:rFonts w:ascii="Hiragino Sans GB" w:hAnsi="Hiragino Sans GB" w:eastAsia="Hiragino Sans GB" w:cs="Hiragino Sans GB"/>
        <w:color w:val="66717C"/>
        <w:sz w:val="17"/>
        <w:lang w:eastAsia="zh-CN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Hiragino Sans GB" w:hAnsi="Hiragino Sans GB" w:eastAsia="Hiragino Sans GB" w:cs="Hiragino Sans GB"/>
        <w:color w:val="66717C"/>
        <w:sz w:val="17"/>
        <w:lang w:eastAsia="zh-CN"/>
      </w:rPr>
      <w:t xml:space="preserve"> 页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spacing w:before="0" w:after="0" w:line="240" w:lineRule="auto"/>
      <w:jc w:val="center"/>
    </w:pPr>
    <w:r>
      <w:rPr>
        <w:rFonts w:ascii="Hiragino Sans GB" w:hAnsi="Hiragino Sans GB" w:eastAsia="Hiragino Sans GB" w:cs="Hiragino Sans GB"/>
        <w:color w:val="66717C"/>
        <w:sz w:val="17"/>
        <w:lang w:eastAsia="zh-CN"/>
      </w:rPr>
      <w:t xml:space="preserve">第 </w:t>
    </w:r>
    <w:r>
      <w:rPr>
        <w:rFonts w:ascii="Hiragino Sans GB" w:hAnsi="Hiragino Sans GB" w:eastAsia="Hiragino Sans GB" w:cs="Hiragino Sans GB"/>
        <w:color w:val="66717C"/>
        <w:sz w:val="17"/>
        <w:lang w:eastAsia="zh-CN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Hiragino Sans GB" w:hAnsi="Hiragino Sans GB" w:eastAsia="Hiragino Sans GB" w:cs="Hiragino Sans GB"/>
        <w:color w:val="66717C"/>
        <w:sz w:val="17"/>
        <w:lang w:eastAsia="zh-CN"/>
      </w:rPr>
      <w:t xml:space="preserve"> 页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spacing w:before="0" w:after="0" w:line="240" w:lineRule="auto"/>
      <w:jc w:val="center"/>
    </w:pPr>
    <w:r>
      <w:rPr>
        <w:rFonts w:ascii="Hiragino Sans GB" w:hAnsi="Hiragino Sans GB" w:eastAsia="Hiragino Sans GB" w:cs="Hiragino Sans GB"/>
        <w:color w:val="66717C"/>
        <w:sz w:val="17"/>
        <w:lang w:eastAsia="zh-CN"/>
      </w:rPr>
      <w:t xml:space="preserve">第 </w:t>
    </w:r>
    <w:r>
      <w:rPr>
        <w:rFonts w:ascii="Hiragino Sans GB" w:hAnsi="Hiragino Sans GB" w:eastAsia="Hiragino Sans GB" w:cs="Hiragino Sans GB"/>
        <w:color w:val="66717C"/>
        <w:sz w:val="17"/>
        <w:lang w:eastAsia="zh-CN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Hiragino Sans GB" w:hAnsi="Hiragino Sans GB" w:eastAsia="Hiragino Sans GB" w:cs="Hiragino Sans GB"/>
        <w:color w:val="66717C"/>
        <w:sz w:val="17"/>
        <w:lang w:eastAsia="zh-CN"/>
      </w:rPr>
      <w:t xml:space="preserve"> 页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  <w:spacing w:before="0" w:after="0" w:line="240" w:lineRule="auto"/>
      <w:jc w:val="right"/>
    </w:pPr>
    <w:r>
      <w:rPr>
        <w:rFonts w:ascii="Hiragino Sans GB" w:hAnsi="Hiragino Sans GB" w:eastAsia="Hiragino Sans GB" w:cs="Hiragino Sans GB"/>
        <w:b/>
        <w:color w:val="66717C"/>
        <w:sz w:val="17"/>
        <w:lang w:eastAsia="zh-CN"/>
      </w:rPr>
      <w:t>企业全生命周期助手  ·  Skills 管理器 0.2.0</w:t>
    </w:r>
  </w:p>
  <w:p>
    <w:r>
      <w:rPr>
        <w:rFonts w:ascii="Hiragino Sans GB" w:hAnsi="Hiragino Sans GB" w:eastAsia="Hiragino Sans GB" w:cs="Hiragino Sans GB"/>
        <w:lang w:eastAsia="zh-CN"/>
      </w:rP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352544" cy="4352544"/>
          <wp:effectExtent l="0" t="0" r="0" b="0"/>
          <wp:wrapNone/>
          <wp:docPr id="1" name="Jiaotang Centered Watermark v3" descr="Jiaotang Centered Watermark v3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10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52544" cy="4352544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Hiragino Sans GB" w:hAnsi="Hiragino Sans GB" w:eastAsia="Hiragino Sans GB" w:cs="Hiragino Sans GB"/>
        <w:lang w:eastAsia="zh-CN"/>
      </w:rPr>
    </w:r>
  </w:p>
  <w:p>
    <w:r>
      <w:rPr>
        <w:rFonts w:ascii="Hiragino Sans GB" w:hAnsi="Hiragino Sans GB" w:eastAsia="Hiragino Sans GB" w:cs="Hiragino Sans GB"/>
        <w:lang w:eastAsia="zh-CN"/>
      </w:rP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352544" cy="4352544"/>
          <wp:effectExtent l="0" t="0" r="0" b="0"/>
          <wp:wrapNone/>
          <wp:docPr id="1" name="Jiaotang Centered Watermark v3" descr="Jiaotang Centered Watermark v3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10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52544" cy="4352544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  <w:spacing w:before="0" w:after="0" w:line="240" w:lineRule="auto"/>
      <w:jc w:val="right"/>
    </w:pPr>
    <w:r>
      <w:rPr>
        <w:rFonts w:ascii="Hiragino Sans GB" w:hAnsi="Hiragino Sans GB" w:eastAsia="Hiragino Sans GB" w:cs="Hiragino Sans GB"/>
        <w:b/>
        <w:color w:val="66717C"/>
        <w:sz w:val="17"/>
        <w:lang w:eastAsia="zh-CN"/>
      </w:rPr>
      <w:t>企业全生命周期助手  ·  Skills 管理器 0.2.0</w:t>
    </w:r>
  </w:p>
  <w:p>
    <w:r>
      <w:rPr>
        <w:rFonts w:ascii="Hiragino Sans GB" w:hAnsi="Hiragino Sans GB" w:eastAsia="Hiragino Sans GB" w:cs="Hiragino Sans GB"/>
        <w:lang w:eastAsia="zh-CN"/>
      </w:rP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352544" cy="4352544"/>
          <wp:effectExtent l="0" t="0" r="0" b="0"/>
          <wp:wrapNone/>
          <wp:docPr id="1" name="Jiaotang Centered Watermark v3" descr="Jiaotang Centered Watermark v3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10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52544" cy="4352544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  <w:spacing w:before="0" w:after="0" w:line="240" w:lineRule="auto"/>
      <w:jc w:val="right"/>
    </w:pPr>
    <w:r>
      <w:rPr>
        <w:rFonts w:ascii="Hiragino Sans GB" w:hAnsi="Hiragino Sans GB" w:eastAsia="Hiragino Sans GB" w:cs="Hiragino Sans GB"/>
        <w:b/>
        <w:color w:val="66717C"/>
        <w:sz w:val="17"/>
        <w:lang w:eastAsia="zh-CN"/>
      </w:rPr>
      <w:t>企业全生命周期助手  ·  Skills 管理器 0.2.0</w:t>
    </w:r>
  </w:p>
  <w:p>
    <w:r>
      <w:rPr>
        <w:rFonts w:ascii="Hiragino Sans GB" w:hAnsi="Hiragino Sans GB" w:eastAsia="Hiragino Sans GB" w:cs="Hiragino Sans GB"/>
        <w:lang w:eastAsia="zh-CN"/>
      </w:rP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352544" cy="4352544"/>
          <wp:effectExtent l="0" t="0" r="0" b="0"/>
          <wp:wrapNone/>
          <wp:docPr id="1" name="Jiaotang Centered Watermark v3" descr="Jiaotang Centered Watermark v3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10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52544" cy="4352544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  <w:spacing w:before="0" w:after="0" w:line="240" w:lineRule="auto"/>
      <w:jc w:val="right"/>
    </w:pPr>
    <w:r>
      <w:rPr>
        <w:rFonts w:ascii="Hiragino Sans GB" w:hAnsi="Hiragino Sans GB" w:eastAsia="Hiragino Sans GB" w:cs="Hiragino Sans GB"/>
        <w:b/>
        <w:color w:val="66717C"/>
        <w:sz w:val="17"/>
        <w:lang w:eastAsia="zh-CN"/>
      </w:rPr>
      <w:t>企业全生命周期助手  ·  Skills 管理器 0.2.0</w:t>
    </w:r>
  </w:p>
  <w:p>
    <w:r>
      <w:rPr>
        <w:rFonts w:ascii="Hiragino Sans GB" w:hAnsi="Hiragino Sans GB" w:eastAsia="Hiragino Sans GB" w:cs="Hiragino Sans GB"/>
        <w:lang w:eastAsia="zh-CN"/>
      </w:rP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352544" cy="4352544"/>
          <wp:effectExtent l="0" t="0" r="0" b="0"/>
          <wp:wrapNone/>
          <wp:docPr id="1" name="Jiaotang Centered Watermark v3" descr="Jiaotang Centered Watermark v3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10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52544" cy="4352544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  <w:spacing w:before="0" w:after="0" w:line="240" w:lineRule="auto"/>
      <w:jc w:val="right"/>
    </w:pPr>
    <w:r>
      <w:rPr>
        <w:rFonts w:ascii="Hiragino Sans GB" w:hAnsi="Hiragino Sans GB" w:eastAsia="Hiragino Sans GB" w:cs="Hiragino Sans GB"/>
        <w:b/>
        <w:color w:val="66717C"/>
        <w:sz w:val="17"/>
        <w:lang w:eastAsia="zh-CN"/>
      </w:rPr>
      <w:t>企业全生命周期助手  ·  Skills 管理器 0.2.0</w:t>
    </w:r>
  </w:p>
  <w:p>
    <w:r>
      <w:rPr>
        <w:rFonts w:ascii="Hiragino Sans GB" w:hAnsi="Hiragino Sans GB" w:eastAsia="Hiragino Sans GB" w:cs="Hiragino Sans GB"/>
        <w:lang w:eastAsia="zh-CN"/>
      </w:rP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352544" cy="4352544"/>
          <wp:effectExtent l="0" t="0" r="0" b="0"/>
          <wp:wrapNone/>
          <wp:docPr id="1" name="Jiaotang Centered Watermark v3" descr="Jiaotang Centered Watermark v3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10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52544" cy="4352544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rPr>
        <w:rFonts w:ascii="Hiragino Sans GB" w:hAnsi="Hiragino Sans GB" w:eastAsia="Hiragino Sans GB" w:cs="Hiragino Sans GB"/>
        <w:lang w:eastAsia="zh-CN"/>
      </w:rP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352544" cy="4352544"/>
          <wp:effectExtent l="0" t="0" r="0" b="0"/>
          <wp:wrapNone/>
          <wp:docPr id="1" name="Jiaotang Centered Watermark v3" descr="Jiaotang Centered Watermark v3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10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52544" cy="4352544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Arial Unicode MS" w:hAnsi="Arial Unicode MS" w:eastAsia="Arial Unicode MS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Arial Unicode MS" w:hAnsi="Arial Unicode MS" w:eastAsia="Arial Unicode MS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Arial Unicode MS" w:hAnsi="Arial Unicode MS" w:eastAsia="Arial Unicode MS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Arial Unicode MS" w:hAnsi="Arial Unicode MS" w:eastAsia="Arial Unicode MS"/>
      </w:r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rial Unicode MS" w:hAnsi="Arial Unicode MS" w:eastAsia="Arial Unicode MS"/>
      </w:r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☐"/>
      <w:lvlJc w:val="left"/>
      <w:pPr>
        <w:tabs>
          <w:tab w:val="num" w:pos="540"/>
        </w:tabs>
        <w:ind w:left="540" w:hanging="270"/>
      </w:pPr>
      <w:rPr>
        <w:rFonts w:ascii="Arial Unicode MS" w:hAnsi="Arial Unicode MS" w:eastAsia="Arial Unicode MS"/>
      </w:rPr>
    </w:lvl>
  </w:abstract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Hiragino Sans GB" w:hAnsi="Hiragino Sans GB" w:eastAsia="Hiragino Sans GB" w:cs="Hiragino Sans GB"/>
      <w:b w:val="0"/>
      <w:color w:val="17212B"/>
      <w:sz w:val="22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eastAsia="Hiragino Sans GB" w:ascii="Hiragino Sans GB" w:hAnsi="Hiragino Sans GB" w:cs="Hiragino Sans GB"/>
      <w:lang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eastAsia="Hiragino Sans GB" w:ascii="Hiragino Sans GB" w:hAnsi="Hiragino Sans GB" w:cs="Hiragino Sans GB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eastAsia="Hiragino Sans GB" w:ascii="Hiragino Sans GB" w:hAnsi="Hiragino Sans GB" w:cs="Hiragino Sans GB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eastAsia="Hiragino Sans GB" w:ascii="Hiragino Sans GB" w:hAnsi="Hiragino Sans GB" w:cs="Hiragino Sans GB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52" w:lineRule="auto"/>
      <w:outlineLvl w:val="0"/>
    </w:pPr>
    <w:rPr>
      <w:rFonts w:ascii="Hiragino Sans GB" w:hAnsi="Hiragino Sans GB" w:eastAsia="Hiragino Sans GB" w:cs="Hiragino Sans GB"/>
      <w:b/>
      <w:bCs/>
      <w:color w:val="2E74B5"/>
      <w:sz w:val="32"/>
      <w:szCs w:val="28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59" w:lineRule="auto"/>
      <w:outlineLvl w:val="1"/>
    </w:pPr>
    <w:rPr>
      <w:rFonts w:ascii="Hiragino Sans GB" w:hAnsi="Hiragino Sans GB" w:eastAsia="Hiragino Sans GB" w:cs="Hiragino Sans GB"/>
      <w:b/>
      <w:bCs/>
      <w:color w:val="2E74B5"/>
      <w:sz w:val="26"/>
      <w:szCs w:val="26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rFonts w:ascii="Hiragino Sans GB" w:hAnsi="Hiragino Sans GB" w:eastAsia="Hiragino Sans GB" w:cs="Hiragino Sans GB"/>
      <w:b/>
      <w:bCs/>
      <w:color w:val="1F4D78"/>
      <w:sz w:val="24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="Hiragino Sans GB" w:ascii="Hiragino Sans GB" w:hAnsi="Hiragino Sans GB" w:cs="Hiragino Sans GB"/>
      <w:b/>
      <w:bCs/>
      <w:i/>
      <w:iCs/>
      <w:color w:val="4F81BD" w:themeColor="accent1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="Hiragino Sans GB" w:ascii="Hiragino Sans GB" w:hAnsi="Hiragino Sans GB" w:cs="Hiragino Sans GB"/>
      <w:color w:val="243F60" w:themeColor="accent1" w:themeShade="7F"/>
      <w:lang w:eastAsia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="Hiragino Sans GB" w:ascii="Hiragino Sans GB" w:hAnsi="Hiragino Sans GB" w:cs="Hiragino Sans GB"/>
      <w:i/>
      <w:iCs/>
      <w:color w:val="243F60" w:themeColor="accent1" w:themeShade="7F"/>
      <w:lang w:eastAsia="zh-C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="Hiragino Sans GB" w:ascii="Hiragino Sans GB" w:hAnsi="Hiragino Sans GB" w:cs="Hiragino Sans GB"/>
      <w:i/>
      <w:iCs/>
      <w:color w:val="404040" w:themeColor="text1" w:themeTint="BF"/>
      <w:lang w:eastAsia="zh-C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="Hiragino Sans GB" w:ascii="Hiragino Sans GB" w:hAnsi="Hiragino Sans GB" w:cs="Hiragino Sans GB"/>
      <w:color w:val="4F81BD" w:themeColor="accent1"/>
      <w:sz w:val="20"/>
      <w:szCs w:val="20"/>
      <w:lang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="Hiragino Sans GB" w:ascii="Hiragino Sans GB" w:hAnsi="Hiragino Sans GB" w:cs="Hiragino Sans GB"/>
      <w:i/>
      <w:iCs/>
      <w:color w:val="404040" w:themeColor="text1" w:themeTint="BF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  <w:rPr>
      <w:rFonts w:eastAsia="Hiragino Sans GB" w:ascii="Hiragino Sans GB" w:hAnsi="Hiragino Sans GB" w:cs="Hiragino Sans GB"/>
      <w:lang w:eastAsia="zh-CN"/>
    </w:rPr>
  </w:style>
  <w:style w:type="table" w:default="1" w:styleId="TableNormal">
    <w:name w:val="Normal Table"/>
    <w:uiPriority w:val="99"/>
    <w:semiHidden/>
    <w:unhideWhenUsed/>
    <w:rPr>
      <w:rFonts w:eastAsia="Hiragino Sans GB" w:ascii="Hiragino Sans GB" w:hAnsi="Hiragino Sans GB" w:cs="Hiragino Sans GB"/>
      <w:lang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rFonts w:eastAsia="Hiragino Sans GB" w:ascii="Hiragino Sans GB" w:hAnsi="Hiragino Sans GB" w:cs="Hiragino Sans GB"/>
      <w:lang w:eastAsia="zh-CN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eastAsia="Hiragino Sans GB" w:ascii="Hiragino Sans GB" w:hAnsi="Hiragino Sans GB" w:cs="Hiragino Sans GB"/>
      <w:lang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eastAsia="Hiragino Sans GB" w:ascii="Hiragino Sans GB" w:hAnsi="Hiragino Sans GB" w:cs="Hiragino Sans GB"/>
      <w:b/>
      <w:bCs/>
      <w:color w:val="365F91" w:themeColor="accent1" w:themeShade="BF"/>
      <w:sz w:val="28"/>
      <w:szCs w:val="28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eastAsia="Hiragino Sans GB" w:ascii="Hiragino Sans GB" w:hAnsi="Hiragino Sans GB" w:cs="Hiragino Sans GB"/>
      <w:b/>
      <w:bCs/>
      <w:color w:val="4F81BD" w:themeColor="accent1"/>
      <w:sz w:val="26"/>
      <w:szCs w:val="26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="Hiragino Sans GB" w:ascii="Hiragino Sans GB" w:hAnsi="Hiragino Sans GB" w:cs="Hiragino Sans GB"/>
      <w:b/>
      <w:bCs/>
      <w:color w:val="4F81BD" w:themeColor="accent1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="Hiragino Sans GB" w:ascii="Hiragino Sans GB" w:hAnsi="Hiragino Sans GB" w:cs="Hiragino Sans GB"/>
      <w:color w:val="17365D" w:themeColor="text2" w:themeShade="BF"/>
      <w:spacing w:val="5"/>
      <w:kern w:val="28"/>
      <w:sz w:val="52"/>
      <w:szCs w:val="52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eastAsia="Hiragino Sans GB" w:ascii="Hiragino Sans GB" w:hAnsi="Hiragino Sans GB" w:cs="Hiragino Sans GB"/>
      <w:color w:val="17365D" w:themeColor="text2" w:themeShade="BF"/>
      <w:spacing w:val="5"/>
      <w:kern w:val="28"/>
      <w:sz w:val="52"/>
      <w:szCs w:val="52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eastAsia="Hiragino Sans GB" w:ascii="Hiragino Sans GB" w:hAnsi="Hiragino Sans GB" w:cs="Hiragino Sans GB"/>
      <w:i/>
      <w:iCs/>
      <w:color w:val="4F81BD" w:themeColor="accent1"/>
      <w:spacing w:val="15"/>
      <w:sz w:val="24"/>
      <w:szCs w:val="24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="Hiragino Sans GB" w:ascii="Hiragino Sans GB" w:hAnsi="Hiragino Sans GB" w:cs="Hiragino Sans GB"/>
      <w:i/>
      <w:iCs/>
      <w:color w:val="4F81BD" w:themeColor="accent1"/>
      <w:spacing w:val="15"/>
      <w:sz w:val="24"/>
      <w:szCs w:val="24"/>
      <w:lang w:eastAsia="zh-CN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eastAsia="Hiragino Sans GB" w:ascii="Hiragino Sans GB" w:hAnsi="Hiragino Sans GB" w:cs="Hiragino Sans GB"/>
      <w:lang w:eastAsia="zh-C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eastAsia="Hiragino Sans GB" w:ascii="Hiragino Sans GB" w:hAnsi="Hiragino Sans GB" w:cs="Hiragino Sans GB"/>
      <w:lang w:eastAsia="zh-C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eastAsia="Hiragino Sans GB" w:ascii="Hiragino Sans GB" w:hAnsi="Hiragino Sans GB" w:cs="Hiragino Sans GB"/>
      <w:lang w:eastAsia="zh-C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eastAsia="Hiragino Sans GB" w:ascii="Hiragino Sans GB" w:hAnsi="Hiragino Sans GB" w:cs="Hiragino Sans GB"/>
      <w:lang w:eastAsia="zh-C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eastAsia="Hiragino Sans GB" w:ascii="Hiragino Sans GB" w:hAnsi="Hiragino Sans GB" w:cs="Hiragino Sans GB"/>
      <w:lang w:eastAsia="zh-C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Hiragino Sans GB" w:ascii="Hiragino Sans GB" w:hAnsi="Hiragino Sans GB" w:cs="Hiragino Sans GB"/>
      <w:sz w:val="16"/>
      <w:szCs w:val="16"/>
      <w:lang w:eastAsia="zh-CN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eastAsia="Hiragino Sans GB" w:ascii="Hiragino Sans GB" w:hAnsi="Hiragino Sans GB" w:cs="Hiragino Sans GB"/>
      <w:sz w:val="16"/>
      <w:szCs w:val="16"/>
      <w:lang w:eastAsia="zh-CN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eastAsia="Hiragino Sans GB" w:ascii="Hiragino Sans GB" w:hAnsi="Hiragino Sans GB" w:cs="Hiragino Sans GB"/>
      <w:lang w:eastAsia="zh-C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eastAsia="Hiragino Sans GB" w:ascii="Hiragino Sans GB" w:hAnsi="Hiragino Sans GB" w:cs="Hiragino Sans GB"/>
      <w:lang w:eastAsia="zh-C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eastAsia="Hiragino Sans GB" w:ascii="Hiragino Sans GB" w:hAnsi="Hiragino Sans GB" w:cs="Hiragino Sans GB"/>
      <w:lang w:eastAsia="zh-C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eastAsia="Hiragino Sans GB" w:ascii="Hiragino Sans GB" w:hAnsi="Hiragino Sans GB" w:cs="Hiragino Sans GB"/>
      <w:lang w:eastAsia="zh-C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eastAsia="Hiragino Sans GB" w:ascii="Hiragino Sans GB" w:hAnsi="Hiragino Sans GB" w:cs="Hiragino Sans GB"/>
      <w:lang w:eastAsia="zh-C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eastAsia="Hiragino Sans GB" w:ascii="Hiragino Sans GB" w:hAnsi="Hiragino Sans GB" w:cs="Hiragino Sans GB"/>
      <w:lang w:eastAsia="zh-C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eastAsia="Hiragino Sans GB" w:ascii="Hiragino Sans GB" w:hAnsi="Hiragino Sans GB" w:cs="Hiragino Sans GB"/>
      <w:lang w:eastAsia="zh-C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eastAsia="Hiragino Sans GB" w:ascii="Hiragino Sans GB" w:hAnsi="Hiragino Sans GB" w:cs="Hiragino Sans GB"/>
      <w:lang w:eastAsia="zh-C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eastAsia="Hiragino Sans GB" w:ascii="Hiragino Sans GB" w:hAnsi="Hiragino Sans GB" w:cs="Hiragino Sans GB"/>
      <w:lang w:eastAsia="zh-C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eastAsia="Hiragino Sans GB" w:ascii="Hiragino Sans GB" w:hAnsi="Hiragino Sans GB" w:cs="Hiragino Sans GB"/>
      <w:lang w:eastAsia="zh-C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eastAsia="Hiragino Sans GB" w:ascii="Hiragino Sans GB" w:hAnsi="Hiragino Sans GB" w:cs="Hiragino Sans GB"/>
      <w:lang w:eastAsia="zh-C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eastAsia="Hiragino Sans GB" w:ascii="Hiragino Sans GB" w:hAnsi="Hiragino Sans GB" w:cs="Hiragino Sans GB"/>
      <w:lang w:eastAsia="zh-C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iragino Sans GB" w:hAnsi="Hiragino Sans GB" w:eastAsia="Hiragino Sans GB" w:cs="Hiragino Sans GB"/>
      <w:sz w:val="20"/>
      <w:szCs w:val="20"/>
      <w:lang w:eastAsia="zh-CN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Hiragino Sans GB" w:hAnsi="Hiragino Sans GB" w:eastAsia="Hiragino Sans GB" w:cs="Hiragino Sans GB"/>
      <w:sz w:val="20"/>
      <w:szCs w:val="20"/>
      <w:lang w:eastAsia="zh-CN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eastAsia="Hiragino Sans GB" w:ascii="Hiragino Sans GB" w:hAnsi="Hiragino Sans GB" w:cs="Hiragino Sans GB"/>
      <w:i/>
      <w:iCs/>
      <w:color w:val="000000" w:themeColor="text1"/>
      <w:lang w:eastAsia="zh-CN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="Hiragino Sans GB" w:ascii="Hiragino Sans GB" w:hAnsi="Hiragino Sans GB" w:cs="Hiragino Sans GB"/>
      <w:i/>
      <w:iCs/>
      <w:color w:val="000000" w:themeColor="text1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="Hiragino Sans GB" w:ascii="Hiragino Sans GB" w:hAnsi="Hiragino Sans GB" w:cs="Hiragino Sans GB"/>
      <w:b/>
      <w:bCs/>
      <w:i/>
      <w:iCs/>
      <w:color w:val="4F81BD" w:themeColor="accent1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="Hiragino Sans GB" w:ascii="Hiragino Sans GB" w:hAnsi="Hiragino Sans GB" w:cs="Hiragino Sans GB"/>
      <w:color w:val="243F60" w:themeColor="accent1" w:themeShade="7F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="Hiragino Sans GB" w:ascii="Hiragino Sans GB" w:hAnsi="Hiragino Sans GB" w:cs="Hiragino Sans GB"/>
      <w:i/>
      <w:iCs/>
      <w:color w:val="243F60" w:themeColor="accent1" w:themeShade="7F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="Hiragino Sans GB" w:ascii="Hiragino Sans GB" w:hAnsi="Hiragino Sans GB" w:cs="Hiragino Sans GB"/>
      <w:i/>
      <w:iCs/>
      <w:color w:val="404040" w:themeColor="text1" w:themeTint="BF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="Hiragino Sans GB" w:ascii="Hiragino Sans GB" w:hAnsi="Hiragino Sans GB" w:cs="Hiragino Sans GB"/>
      <w:color w:val="4F81BD" w:themeColor="accent1"/>
      <w:sz w:val="20"/>
      <w:szCs w:val="20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="Hiragino Sans GB" w:ascii="Hiragino Sans GB" w:hAnsi="Hiragino Sans GB" w:cs="Hiragino Sans GB"/>
      <w:i/>
      <w:iCs/>
      <w:color w:val="404040" w:themeColor="text1" w:themeTint="BF"/>
      <w:sz w:val="20"/>
      <w:szCs w:val="20"/>
      <w:lang w:eastAsia="zh-CN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Hiragino Sans GB" w:ascii="Hiragino Sans GB" w:hAnsi="Hiragino Sans GB" w:cs="Hiragino Sans GB"/>
      <w:b/>
      <w:bCs/>
      <w:color w:val="4F81BD" w:themeColor="accent1"/>
      <w:sz w:val="18"/>
      <w:szCs w:val="18"/>
      <w:lang w:eastAsia="zh-CN"/>
    </w:rPr>
  </w:style>
  <w:style w:type="character" w:styleId="Strong">
    <w:name w:val="Strong"/>
    <w:basedOn w:val="DefaultParagraphFont"/>
    <w:uiPriority w:val="22"/>
    <w:qFormat/>
    <w:rsid w:val="00FC693F"/>
    <w:rPr>
      <w:rFonts w:eastAsia="Hiragino Sans GB" w:ascii="Hiragino Sans GB" w:hAnsi="Hiragino Sans GB" w:cs="Hiragino Sans GB"/>
      <w:b/>
      <w:bCs/>
      <w:lang w:eastAsia="zh-CN"/>
    </w:rPr>
  </w:style>
  <w:style w:type="character" w:styleId="Emphasis">
    <w:name w:val="Emphasis"/>
    <w:basedOn w:val="DefaultParagraphFont"/>
    <w:uiPriority w:val="20"/>
    <w:qFormat/>
    <w:rsid w:val="00FC693F"/>
    <w:rPr>
      <w:rFonts w:eastAsia="Hiragino Sans GB" w:ascii="Hiragino Sans GB" w:hAnsi="Hiragino Sans GB" w:cs="Hiragino Sans GB"/>
      <w:i/>
      <w:iCs/>
      <w:lang w:eastAsia="zh-C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eastAsia="Hiragino Sans GB" w:ascii="Hiragino Sans GB" w:hAnsi="Hiragino Sans GB" w:cs="Hiragino Sans GB"/>
      <w:b/>
      <w:bCs/>
      <w:i/>
      <w:iCs/>
      <w:color w:val="4F81BD" w:themeColor="accent1"/>
      <w:lang w:eastAsia="zh-C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="Hiragino Sans GB" w:ascii="Hiragino Sans GB" w:hAnsi="Hiragino Sans GB" w:cs="Hiragino Sans GB"/>
      <w:b/>
      <w:bCs/>
      <w:i/>
      <w:iCs/>
      <w:color w:val="4F81BD" w:themeColor="accent1"/>
      <w:lang w:eastAsia="zh-CN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eastAsia="Hiragino Sans GB" w:ascii="Hiragino Sans GB" w:hAnsi="Hiragino Sans GB" w:cs="Hiragino Sans GB"/>
      <w:i/>
      <w:iCs/>
      <w:color w:val="808080" w:themeColor="text1" w:themeTint="7F"/>
      <w:lang w:eastAsia="zh-CN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eastAsia="Hiragino Sans GB" w:ascii="Hiragino Sans GB" w:hAnsi="Hiragino Sans GB" w:cs="Hiragino Sans GB"/>
      <w:b/>
      <w:bCs/>
      <w:i/>
      <w:iCs/>
      <w:color w:val="4F81BD" w:themeColor="accent1"/>
      <w:lang w:eastAsia="zh-CN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eastAsia="Hiragino Sans GB" w:ascii="Hiragino Sans GB" w:hAnsi="Hiragino Sans GB" w:cs="Hiragino Sans GB"/>
      <w:smallCaps/>
      <w:color w:val="C0504D" w:themeColor="accent2"/>
      <w:u w:val="single"/>
      <w:lang w:eastAsia="zh-CN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eastAsia="Hiragino Sans GB" w:ascii="Hiragino Sans GB" w:hAnsi="Hiragino Sans GB" w:cs="Hiragino Sans GB"/>
      <w:b/>
      <w:bCs/>
      <w:smallCaps/>
      <w:color w:val="C0504D" w:themeColor="accent2"/>
      <w:spacing w:val="5"/>
      <w:u w:val="single"/>
      <w:lang w:eastAsia="zh-CN"/>
    </w:rPr>
  </w:style>
  <w:style w:type="character" w:styleId="BookTitle">
    <w:name w:val="Book Title"/>
    <w:basedOn w:val="DefaultParagraphFont"/>
    <w:uiPriority w:val="33"/>
    <w:qFormat/>
    <w:rsid w:val="00FC693F"/>
    <w:rPr>
      <w:rFonts w:eastAsia="Hiragino Sans GB" w:ascii="Hiragino Sans GB" w:hAnsi="Hiragino Sans GB" w:cs="Hiragino Sans GB"/>
      <w:b/>
      <w:bCs/>
      <w:smallCaps/>
      <w:spacing w:val="5"/>
      <w:lang w:eastAsia="zh-C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eastAsia="Hiragino Sans GB" w:ascii="Hiragino Sans GB" w:hAnsi="Hiragino Sans GB" w:cs="Hiragino Sans GB"/>
      <w:lang w:eastAsia="zh-C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eastAsia="Hiragino Sans GB" w:ascii="Hiragino Sans GB" w:hAnsi="Hiragino Sans GB" w:cs="Hiragino Sans GB"/>
      <w:lang w:eastAsia="zh-C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eastAsia="Hiragino Sans GB" w:ascii="Hiragino Sans GB" w:hAnsi="Hiragino Sans GB" w:cs="Hiragino Sans GB"/>
      <w:color w:val="000000" w:themeColor="text1" w:themeShade="BF"/>
      <w:lang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eastAsia="Hiragino Sans GB" w:ascii="Hiragino Sans GB" w:hAnsi="Hiragino Sans GB" w:cs="Hiragino Sans GB"/>
      <w:color w:val="365F91" w:themeColor="accent1" w:themeShade="BF"/>
      <w:lang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eastAsia="Hiragino Sans GB" w:ascii="Hiragino Sans GB" w:hAnsi="Hiragino Sans GB" w:cs="Hiragino Sans GB"/>
      <w:color w:val="943634" w:themeColor="accent2" w:themeShade="BF"/>
      <w:lang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eastAsia="Hiragino Sans GB" w:ascii="Hiragino Sans GB" w:hAnsi="Hiragino Sans GB" w:cs="Hiragino Sans GB"/>
      <w:color w:val="76923C" w:themeColor="accent3" w:themeShade="BF"/>
      <w:lang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eastAsia="Hiragino Sans GB" w:ascii="Hiragino Sans GB" w:hAnsi="Hiragino Sans GB" w:cs="Hiragino Sans GB"/>
      <w:color w:val="5F497A" w:themeColor="accent4" w:themeShade="BF"/>
      <w:lang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eastAsia="Hiragino Sans GB" w:ascii="Hiragino Sans GB" w:hAnsi="Hiragino Sans GB" w:cs="Hiragino Sans GB"/>
      <w:color w:val="31849B" w:themeColor="accent5" w:themeShade="BF"/>
      <w:lang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eastAsia="Hiragino Sans GB" w:ascii="Hiragino Sans GB" w:hAnsi="Hiragino Sans GB" w:cs="Hiragino Sans GB"/>
      <w:color w:val="E36C0A" w:themeColor="accent6" w:themeShade="BF"/>
      <w:lang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eastAsia="Hiragino Sans GB" w:ascii="Hiragino Sans GB" w:hAnsi="Hiragino Sans GB" w:cs="Hiragino Sans GB"/>
      <w:lang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eastAsia="Hiragino Sans GB" w:ascii="Hiragino Sans GB" w:hAnsi="Hiragino Sans GB" w:cs="Hiragino Sans GB"/>
      <w:lang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eastAsia="Hiragino Sans GB" w:ascii="Hiragino Sans GB" w:hAnsi="Hiragino Sans GB" w:cs="Hiragino Sans GB"/>
      <w:lang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eastAsia="Hiragino Sans GB" w:ascii="Hiragino Sans GB" w:hAnsi="Hiragino Sans GB" w:cs="Hiragino Sans GB"/>
      <w:lang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eastAsia="Hiragino Sans GB" w:ascii="Hiragino Sans GB" w:hAnsi="Hiragino Sans GB" w:cs="Hiragino Sans GB"/>
      <w:lang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eastAsia="Hiragino Sans GB" w:ascii="Hiragino Sans GB" w:hAnsi="Hiragino Sans GB" w:cs="Hiragino Sans GB"/>
      <w:lang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eastAsia="Hiragino Sans GB" w:ascii="Hiragino Sans GB" w:hAnsi="Hiragino Sans GB" w:cs="Hiragino Sans GB"/>
      <w:lang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eastAsia="Hiragino Sans GB" w:ascii="Hiragino Sans GB" w:hAnsi="Hiragino Sans GB" w:cs="Hiragino Sans GB"/>
      <w:lang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eastAsia="Hiragino Sans GB" w:ascii="Hiragino Sans GB" w:hAnsi="Hiragino Sans GB" w:cs="Hiragino Sans GB"/>
      <w:lang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eastAsia="Hiragino Sans GB" w:ascii="Hiragino Sans GB" w:hAnsi="Hiragino Sans GB" w:cs="Hiragino Sans GB"/>
      <w:lang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eastAsia="Hiragino Sans GB" w:ascii="Hiragino Sans GB" w:hAnsi="Hiragino Sans GB" w:cs="Hiragino Sans GB"/>
      <w:lang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eastAsia="Hiragino Sans GB" w:ascii="Hiragino Sans GB" w:hAnsi="Hiragino Sans GB" w:cs="Hiragino Sans GB"/>
      <w:lang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eastAsia="Hiragino Sans GB" w:ascii="Hiragino Sans GB" w:hAnsi="Hiragino Sans GB" w:cs="Hiragino Sans GB"/>
      <w:lang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eastAsia="Hiragino Sans GB" w:ascii="Hiragino Sans GB" w:hAnsi="Hiragino Sans GB" w:cs="Hiragino Sans GB"/>
      <w:lang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eastAsia="Hiragino Sans GB" w:ascii="Hiragino Sans GB" w:hAnsi="Hiragino Sans GB" w:cs="Hiragino Sans GB"/>
      <w:lang w:eastAsia="zh-C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eastAsia="Hiragino Sans GB" w:ascii="Hiragino Sans GB" w:hAnsi="Hiragino Sans GB" w:cs="Hiragino Sans GB"/>
      <w:lang w:eastAsia="zh-C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eastAsia="Hiragino Sans GB" w:ascii="Hiragino Sans GB" w:hAnsi="Hiragino Sans GB" w:cs="Hiragino Sans GB"/>
      <w:lang w:eastAsia="zh-C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eastAsia="Hiragino Sans GB" w:ascii="Hiragino Sans GB" w:hAnsi="Hiragino Sans GB" w:cs="Hiragino Sans GB"/>
      <w:lang w:eastAsia="zh-C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eastAsia="Hiragino Sans GB" w:ascii="Hiragino Sans GB" w:hAnsi="Hiragino Sans GB" w:cs="Hiragino Sans GB"/>
      <w:lang w:eastAsia="zh-C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eastAsia="Hiragino Sans GB" w:ascii="Hiragino Sans GB" w:hAnsi="Hiragino Sans GB" w:cs="Hiragino Sans GB"/>
      <w:lang w:eastAsia="zh-C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eastAsia="Hiragino Sans GB" w:ascii="Hiragino Sans GB" w:hAnsi="Hiragino Sans GB" w:cs="Hiragino Sans GB"/>
      <w:lang w:eastAsia="zh-C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eastAsia="Hiragino Sans GB" w:ascii="Hiragino Sans GB" w:hAnsi="Hiragino Sans GB" w:cs="Hiragino Sans GB"/>
      <w:lang w:eastAsia="zh-C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eastAsia="Hiragino Sans GB" w:ascii="Hiragino Sans GB" w:hAnsi="Hiragino Sans GB" w:cs="Hiragino Sans GB"/>
      <w:lang w:eastAsia="zh-C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eastAsia="Hiragino Sans GB" w:ascii="Hiragino Sans GB" w:hAnsi="Hiragino Sans GB" w:cs="Hiragino Sans GB"/>
      <w:lang w:eastAsia="zh-C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eastAsia="Hiragino Sans GB" w:ascii="Hiragino Sans GB" w:hAnsi="Hiragino Sans GB" w:cs="Hiragino Sans GB"/>
      <w:lang w:eastAsia="zh-C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eastAsia="Hiragino Sans GB" w:ascii="Hiragino Sans GB" w:hAnsi="Hiragino Sans GB" w:cs="Hiragino Sans GB"/>
      <w:lang w:eastAsia="zh-C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eastAsia="Hiragino Sans GB" w:ascii="Hiragino Sans GB" w:hAnsi="Hiragino Sans GB" w:cs="Hiragino Sans GB"/>
      <w:lang w:eastAsia="zh-C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eastAsia="Hiragino Sans GB" w:ascii="Hiragino Sans GB" w:hAnsi="Hiragino Sans GB" w:cs="Hiragino Sans GB"/>
      <w:lang w:eastAsia="zh-C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eastAsia="Hiragino Sans GB" w:ascii="Hiragino Sans GB" w:hAnsi="Hiragino Sans GB" w:cs="Hiragino Sans GB"/>
      <w:color w:val="000000" w:themeColor="text1"/>
      <w:lang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eastAsia="Hiragino Sans GB" w:ascii="Hiragino Sans GB" w:hAnsi="Hiragino Sans GB" w:cs="Hiragino Sans GB"/>
      <w:color w:val="000000" w:themeColor="text1"/>
      <w:lang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eastAsia="Hiragino Sans GB" w:ascii="Hiragino Sans GB" w:hAnsi="Hiragino Sans GB" w:cs="Hiragino Sans GB"/>
      <w:color w:val="000000" w:themeColor="text1"/>
      <w:lang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eastAsia="Hiragino Sans GB" w:ascii="Hiragino Sans GB" w:hAnsi="Hiragino Sans GB" w:cs="Hiragino Sans GB"/>
      <w:color w:val="000000" w:themeColor="text1"/>
      <w:lang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eastAsia="Hiragino Sans GB" w:ascii="Hiragino Sans GB" w:hAnsi="Hiragino Sans GB" w:cs="Hiragino Sans GB"/>
      <w:color w:val="000000" w:themeColor="text1"/>
      <w:lang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eastAsia="Hiragino Sans GB" w:ascii="Hiragino Sans GB" w:hAnsi="Hiragino Sans GB" w:cs="Hiragino Sans GB"/>
      <w:color w:val="000000" w:themeColor="text1"/>
      <w:lang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eastAsia="Hiragino Sans GB" w:ascii="Hiragino Sans GB" w:hAnsi="Hiragino Sans GB" w:cs="Hiragino Sans GB"/>
      <w:color w:val="000000" w:themeColor="text1"/>
      <w:lang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eastAsia="Hiragino Sans GB" w:ascii="Hiragino Sans GB" w:hAnsi="Hiragino Sans GB" w:cs="Hiragino Sans GB"/>
      <w:color w:val="000000" w:themeColor="text1"/>
      <w:lang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eastAsia="Hiragino Sans GB" w:ascii="Hiragino Sans GB" w:hAnsi="Hiragino Sans GB" w:cs="Hiragino Sans GB"/>
      <w:color w:val="000000" w:themeColor="text1"/>
      <w:lang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eastAsia="Hiragino Sans GB" w:ascii="Hiragino Sans GB" w:hAnsi="Hiragino Sans GB" w:cs="Hiragino Sans GB"/>
      <w:color w:val="000000" w:themeColor="text1"/>
      <w:lang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eastAsia="Hiragino Sans GB" w:ascii="Hiragino Sans GB" w:hAnsi="Hiragino Sans GB" w:cs="Hiragino Sans GB"/>
      <w:color w:val="000000" w:themeColor="text1"/>
      <w:lang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eastAsia="Hiragino Sans GB" w:ascii="Hiragino Sans GB" w:hAnsi="Hiragino Sans GB" w:cs="Hiragino Sans GB"/>
      <w:color w:val="000000" w:themeColor="text1"/>
      <w:lang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eastAsia="Hiragino Sans GB" w:ascii="Hiragino Sans GB" w:hAnsi="Hiragino Sans GB" w:cs="Hiragino Sans GB"/>
      <w:color w:val="000000" w:themeColor="text1"/>
      <w:lang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eastAsia="Hiragino Sans GB" w:ascii="Hiragino Sans GB" w:hAnsi="Hiragino Sans GB" w:cs="Hiragino Sans GB"/>
      <w:color w:val="000000" w:themeColor="text1"/>
      <w:lang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eastAsia="Hiragino Sans GB" w:ascii="Hiragino Sans GB" w:hAnsi="Hiragino Sans GB" w:cs="Hiragino Sans GB"/>
      <w:lang w:eastAsia="zh-C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eastAsia="Hiragino Sans GB" w:ascii="Hiragino Sans GB" w:hAnsi="Hiragino Sans GB" w:cs="Hiragino Sans GB"/>
      <w:lang w:eastAsia="zh-C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eastAsia="Hiragino Sans GB" w:ascii="Hiragino Sans GB" w:hAnsi="Hiragino Sans GB" w:cs="Hiragino Sans GB"/>
      <w:lang w:eastAsia="zh-C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eastAsia="Hiragino Sans GB" w:ascii="Hiragino Sans GB" w:hAnsi="Hiragino Sans GB" w:cs="Hiragino Sans GB"/>
      <w:lang w:eastAsia="zh-C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eastAsia="Hiragino Sans GB" w:ascii="Hiragino Sans GB" w:hAnsi="Hiragino Sans GB" w:cs="Hiragino Sans GB"/>
      <w:lang w:eastAsia="zh-C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eastAsia="Hiragino Sans GB" w:ascii="Hiragino Sans GB" w:hAnsi="Hiragino Sans GB" w:cs="Hiragino Sans GB"/>
      <w:lang w:eastAsia="zh-C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eastAsia="Hiragino Sans GB" w:ascii="Hiragino Sans GB" w:hAnsi="Hiragino Sans GB" w:cs="Hiragino Sans GB"/>
      <w:lang w:eastAsia="zh-C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eastAsia="Hiragino Sans GB" w:ascii="Hiragino Sans GB" w:hAnsi="Hiragino Sans GB" w:cs="Hiragino Sans GB"/>
      <w:color w:val="000000" w:themeColor="text1"/>
      <w:lang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eastAsia="Hiragino Sans GB" w:ascii="Hiragino Sans GB" w:hAnsi="Hiragino Sans GB" w:cs="Hiragino Sans GB"/>
      <w:color w:val="000000" w:themeColor="text1"/>
      <w:lang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eastAsia="Hiragino Sans GB" w:ascii="Hiragino Sans GB" w:hAnsi="Hiragino Sans GB" w:cs="Hiragino Sans GB"/>
      <w:color w:val="000000" w:themeColor="text1"/>
      <w:lang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eastAsia="Hiragino Sans GB" w:ascii="Hiragino Sans GB" w:hAnsi="Hiragino Sans GB" w:cs="Hiragino Sans GB"/>
      <w:color w:val="000000" w:themeColor="text1"/>
      <w:lang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eastAsia="Hiragino Sans GB" w:ascii="Hiragino Sans GB" w:hAnsi="Hiragino Sans GB" w:cs="Hiragino Sans GB"/>
      <w:color w:val="000000" w:themeColor="text1"/>
      <w:lang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eastAsia="Hiragino Sans GB" w:ascii="Hiragino Sans GB" w:hAnsi="Hiragino Sans GB" w:cs="Hiragino Sans GB"/>
      <w:color w:val="000000" w:themeColor="text1"/>
      <w:lang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eastAsia="Hiragino Sans GB" w:ascii="Hiragino Sans GB" w:hAnsi="Hiragino Sans GB" w:cs="Hiragino Sans GB"/>
      <w:color w:val="000000" w:themeColor="text1"/>
      <w:lang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eastAsia="Hiragino Sans GB" w:ascii="Hiragino Sans GB" w:hAnsi="Hiragino Sans GB" w:cs="Hiragino Sans GB"/>
      <w:lang w:eastAsia="zh-C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eastAsia="Hiragino Sans GB" w:ascii="Hiragino Sans GB" w:hAnsi="Hiragino Sans GB" w:cs="Hiragino Sans GB"/>
      <w:lang w:eastAsia="zh-C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eastAsia="Hiragino Sans GB" w:ascii="Hiragino Sans GB" w:hAnsi="Hiragino Sans GB" w:cs="Hiragino Sans GB"/>
      <w:lang w:eastAsia="zh-C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eastAsia="Hiragino Sans GB" w:ascii="Hiragino Sans GB" w:hAnsi="Hiragino Sans GB" w:cs="Hiragino Sans GB"/>
      <w:lang w:eastAsia="zh-C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eastAsia="Hiragino Sans GB" w:ascii="Hiragino Sans GB" w:hAnsi="Hiragino Sans GB" w:cs="Hiragino Sans GB"/>
      <w:lang w:eastAsia="zh-C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eastAsia="Hiragino Sans GB" w:ascii="Hiragino Sans GB" w:hAnsi="Hiragino Sans GB" w:cs="Hiragino Sans GB"/>
      <w:lang w:eastAsia="zh-C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eastAsia="Hiragino Sans GB" w:ascii="Hiragino Sans GB" w:hAnsi="Hiragino Sans GB" w:cs="Hiragino Sans GB"/>
      <w:lang w:eastAsia="zh-C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eastAsia="Hiragino Sans GB" w:ascii="Hiragino Sans GB" w:hAnsi="Hiragino Sans GB" w:cs="Hiragino Sans GB"/>
      <w:color w:val="FFFFFF" w:themeColor="background1"/>
      <w:lang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eastAsia="Hiragino Sans GB" w:ascii="Hiragino Sans GB" w:hAnsi="Hiragino Sans GB" w:cs="Hiragino Sans GB"/>
      <w:color w:val="FFFFFF" w:themeColor="background1"/>
      <w:lang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eastAsia="Hiragino Sans GB" w:ascii="Hiragino Sans GB" w:hAnsi="Hiragino Sans GB" w:cs="Hiragino Sans GB"/>
      <w:color w:val="FFFFFF" w:themeColor="background1"/>
      <w:lang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eastAsia="Hiragino Sans GB" w:ascii="Hiragino Sans GB" w:hAnsi="Hiragino Sans GB" w:cs="Hiragino Sans GB"/>
      <w:color w:val="FFFFFF" w:themeColor="background1"/>
      <w:lang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eastAsia="Hiragino Sans GB" w:ascii="Hiragino Sans GB" w:hAnsi="Hiragino Sans GB" w:cs="Hiragino Sans GB"/>
      <w:color w:val="FFFFFF" w:themeColor="background1"/>
      <w:lang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eastAsia="Hiragino Sans GB" w:ascii="Hiragino Sans GB" w:hAnsi="Hiragino Sans GB" w:cs="Hiragino Sans GB"/>
      <w:color w:val="FFFFFF" w:themeColor="background1"/>
      <w:lang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eastAsia="Hiragino Sans GB" w:ascii="Hiragino Sans GB" w:hAnsi="Hiragino Sans GB" w:cs="Hiragino Sans GB"/>
      <w:color w:val="FFFFFF" w:themeColor="background1"/>
      <w:lang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eastAsia="Hiragino Sans GB" w:ascii="Hiragino Sans GB" w:hAnsi="Hiragino Sans GB" w:cs="Hiragino Sans GB"/>
      <w:color w:val="000000" w:themeColor="text1"/>
      <w:lang w:eastAsia="zh-C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eastAsia="Hiragino Sans GB" w:ascii="Hiragino Sans GB" w:hAnsi="Hiragino Sans GB" w:cs="Hiragino Sans GB"/>
      <w:color w:val="000000" w:themeColor="text1"/>
      <w:lang w:eastAsia="zh-C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eastAsia="Hiragino Sans GB" w:ascii="Hiragino Sans GB" w:hAnsi="Hiragino Sans GB" w:cs="Hiragino Sans GB"/>
      <w:color w:val="000000" w:themeColor="text1"/>
      <w:lang w:eastAsia="zh-C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eastAsia="Hiragino Sans GB" w:ascii="Hiragino Sans GB" w:hAnsi="Hiragino Sans GB" w:cs="Hiragino Sans GB"/>
      <w:color w:val="000000" w:themeColor="text1"/>
      <w:lang w:eastAsia="zh-CN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eastAsia="Hiragino Sans GB" w:ascii="Hiragino Sans GB" w:hAnsi="Hiragino Sans GB" w:cs="Hiragino Sans GB"/>
      <w:color w:val="000000" w:themeColor="text1"/>
      <w:lang w:eastAsia="zh-CN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eastAsia="Hiragino Sans GB" w:ascii="Hiragino Sans GB" w:hAnsi="Hiragino Sans GB" w:cs="Hiragino Sans GB"/>
      <w:color w:val="000000" w:themeColor="text1"/>
      <w:lang w:eastAsia="zh-CN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eastAsia="Hiragino Sans GB" w:ascii="Hiragino Sans GB" w:hAnsi="Hiragino Sans GB" w:cs="Hiragino Sans GB"/>
      <w:color w:val="000000" w:themeColor="text1"/>
      <w:lang w:eastAsia="zh-CN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eastAsia="Hiragino Sans GB" w:ascii="Hiragino Sans GB" w:hAnsi="Hiragino Sans GB" w:cs="Hiragino Sans GB"/>
      <w:color w:val="000000" w:themeColor="text1"/>
      <w:lang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eastAsia="Hiragino Sans GB" w:ascii="Hiragino Sans GB" w:hAnsi="Hiragino Sans GB" w:cs="Hiragino Sans GB"/>
      <w:color w:val="000000" w:themeColor="text1"/>
      <w:lang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eastAsia="Hiragino Sans GB" w:ascii="Hiragino Sans GB" w:hAnsi="Hiragino Sans GB" w:cs="Hiragino Sans GB"/>
      <w:color w:val="000000" w:themeColor="text1"/>
      <w:lang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eastAsia="Hiragino Sans GB" w:ascii="Hiragino Sans GB" w:hAnsi="Hiragino Sans GB" w:cs="Hiragino Sans GB"/>
      <w:color w:val="000000" w:themeColor="text1"/>
      <w:lang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eastAsia="Hiragino Sans GB" w:ascii="Hiragino Sans GB" w:hAnsi="Hiragino Sans GB" w:cs="Hiragino Sans GB"/>
      <w:color w:val="000000" w:themeColor="text1"/>
      <w:lang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eastAsia="Hiragino Sans GB" w:ascii="Hiragino Sans GB" w:hAnsi="Hiragino Sans GB" w:cs="Hiragino Sans GB"/>
      <w:color w:val="000000" w:themeColor="text1"/>
      <w:lang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eastAsia="Hiragino Sans GB" w:ascii="Hiragino Sans GB" w:hAnsi="Hiragino Sans GB" w:cs="Hiragino Sans GB"/>
      <w:color w:val="000000" w:themeColor="text1"/>
      <w:lang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eastAsia="Hiragino Sans GB" w:ascii="Hiragino Sans GB" w:hAnsi="Hiragino Sans GB" w:cs="Hiragino Sans GB"/>
      <w:color w:val="000000" w:themeColor="text1"/>
      <w:lang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eastAsia="Hiragino Sans GB" w:ascii="Hiragino Sans GB" w:hAnsi="Hiragino Sans GB" w:cs="Hiragino Sans GB"/>
      <w:color w:val="000000" w:themeColor="text1"/>
      <w:lang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eastAsia="Hiragino Sans GB" w:ascii="Hiragino Sans GB" w:hAnsi="Hiragino Sans GB" w:cs="Hiragino Sans GB"/>
      <w:color w:val="000000" w:themeColor="text1"/>
      <w:lang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eastAsia="Hiragino Sans GB" w:ascii="Hiragino Sans GB" w:hAnsi="Hiragino Sans GB" w:cs="Hiragino Sans GB"/>
      <w:color w:val="000000" w:themeColor="text1"/>
      <w:lang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eastAsia="Hiragino Sans GB" w:ascii="Hiragino Sans GB" w:hAnsi="Hiragino Sans GB" w:cs="Hiragino Sans GB"/>
      <w:color w:val="000000" w:themeColor="text1"/>
      <w:lang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eastAsia="Hiragino Sans GB" w:ascii="Hiragino Sans GB" w:hAnsi="Hiragino Sans GB" w:cs="Hiragino Sans GB"/>
      <w:color w:val="000000" w:themeColor="text1"/>
      <w:lang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eastAsia="Hiragino Sans GB" w:ascii="Hiragino Sans GB" w:hAnsi="Hiragino Sans GB" w:cs="Hiragino Sans GB"/>
      <w:color w:val="000000" w:themeColor="text1"/>
      <w:lang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Relationship Id="rId19" Type="http://schemas.openxmlformats.org/officeDocument/2006/relationships/header" Target="header6.xml"/><Relationship Id="rId20" Type="http://schemas.openxmlformats.org/officeDocument/2006/relationships/footer" Target="footer6.xml"/><Relationship Id="rId21" Type="http://schemas.openxmlformats.org/officeDocument/2006/relationships/header" Target="header7.xml"/><Relationship Id="rId22" Type="http://schemas.openxmlformats.org/officeDocument/2006/relationships/footer" Target="footer7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企业全生命周期助手 Skills 管理器 0.2.0 用户手册</dc:title>
  <dc:subject>macOS 与 Windows 本地授权安装、Agent 扫描、一键导入与安全验收</dc:subject>
  <dc:creator>焦糖</dc:creator>
  <cp:keywords>Skills 管理器, Agent, WorkBuddy, macOS, Windows, 用户手册</cp:keywords>
  <dc:description>正式用户手册，适用管理器 0.2.0 与 Skills V1.3.1.6</dc:description>
  <cp:lastModifiedBy>焦糖</cp:lastModifiedBy>
  <cp:revision>1</cp:revision>
  <dcterms:created xsi:type="dcterms:W3CDTF">2013-12-23T23:15:00Z</dcterms:created>
  <dcterms:modified xsi:type="dcterms:W3CDTF">2013-12-23T23:15:00Z</dcterms:modified>
  <cp:category/>
</cp:coreProperties>
</file>