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(Мархаев А.М.)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Первое задание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Второе задание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