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805B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Navigo Nepal in Association with Gurubaa</w:t>
      </w:r>
    </w:p>
    <w:p w14:paraId="01903F8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“Where Conventionality ends and Practicality starts"</w:t>
      </w:r>
    </w:p>
    <w:p w14:paraId="15E311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want to thank the entire Gurubaa team, especially Bijay Sir for providing us with this great opportunity to collaborate with Gurubaa. We are very eager to share our achievements and plans with you. </w:t>
      </w:r>
    </w:p>
    <w:p w14:paraId="4310858B">
      <w:pPr>
        <w:pStyle w:val="8"/>
        <w:numPr>
          <w:ilvl w:val="0"/>
          <w:numId w:val="1"/>
        </w:num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What till now? </w:t>
      </w:r>
    </w:p>
    <w:p w14:paraId="50EBF513">
      <w:pPr>
        <w:pStyle w:val="8"/>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Firstly, we started Navigo Nepal when we felt about what we were deprived of in our school days. </w:t>
      </w:r>
    </w:p>
    <w:p w14:paraId="4DC64DA4">
      <w:pPr>
        <w:pStyle w:val="8"/>
        <w:spacing w:line="360" w:lineRule="auto"/>
        <w:ind w:left="0"/>
        <w:jc w:val="both"/>
        <w:rPr>
          <w:rFonts w:ascii="Times New Roman" w:hAnsi="Times New Roman" w:cs="Times New Roman"/>
          <w:sz w:val="24"/>
          <w:szCs w:val="24"/>
        </w:rPr>
      </w:pPr>
      <w:r>
        <w:rPr>
          <w:rFonts w:ascii="Times New Roman" w:hAnsi="Times New Roman" w:cs="Times New Roman"/>
          <w:sz w:val="24"/>
          <w:szCs w:val="24"/>
        </w:rPr>
        <w:t>Navigo is the latin name of Navigate which is our main motto: to navigate future with hands-on learning.</w:t>
      </w:r>
    </w:p>
    <w:p w14:paraId="6BE00896">
      <w:pPr>
        <w:pStyle w:val="8"/>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We wanted to let students find "What's Next?" which was our first project; 3e realized that there is a huge education gap between grade 10 and 11, we wanted to provide the bridge so that they can wisely choose what they want to study after their basic schooling. </w:t>
      </w:r>
    </w:p>
    <w:p w14:paraId="0CB657FC">
      <w:pPr>
        <w:pStyle w:val="8"/>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 know more about this, we first took a need based assessment test with about 30 students to know them and their goals. We found out most of them were not clear about their goals, or why were they even studying. The school had provided them with nothing but the knowledge to complete their SEE, and that’s it. Hence, we figured out that they have to be suggested about what was about to come. Initially, our plan was to give them all the information about what they can study in +2 and share our experience on how to make that experience enjoyable, but we later realized, through the assessment test that everyone had different skills. Many people wanted to pursue things that were not given by any course. Hence we chose to not only counsel them, but to make them a problem-solver. We wanted to end the conventionality our education system holds and give them knowledge about what they can choose in such a way that they themselves could figure out what they would choose, and what they want to become in the future.</w:t>
      </w:r>
    </w:p>
    <w:p w14:paraId="4A5A0AD4">
      <w:pPr>
        <w:pStyle w:val="8"/>
        <w:spacing w:line="360" w:lineRule="auto"/>
        <w:ind w:left="0"/>
        <w:jc w:val="both"/>
        <w:rPr>
          <w:rFonts w:ascii="Times New Roman" w:hAnsi="Times New Roman" w:cs="Times New Roman"/>
          <w:sz w:val="24"/>
          <w:szCs w:val="24"/>
        </w:rPr>
      </w:pPr>
    </w:p>
    <w:p w14:paraId="7B5E4E43">
      <w:pPr>
        <w:pStyle w:val="8"/>
        <w:spacing w:line="360" w:lineRule="auto"/>
        <w:ind w:left="0"/>
        <w:jc w:val="both"/>
        <w:rPr>
          <w:rFonts w:ascii="Times New Roman" w:hAnsi="Times New Roman" w:cs="Times New Roman"/>
          <w:color w:val="FF0000"/>
          <w:sz w:val="24"/>
          <w:szCs w:val="24"/>
        </w:rPr>
      </w:pPr>
      <w:r>
        <w:rPr>
          <w:rFonts w:ascii="Times New Roman" w:hAnsi="Times New Roman" w:cs="Times New Roman"/>
          <w:sz w:val="24"/>
          <w:szCs w:val="24"/>
        </w:rPr>
        <w:t>To kick start our project, first we went to Shree Chandra Jyoti School of Nuwakot to provide exactly that</w:t>
      </w:r>
      <w:r>
        <w:rPr>
          <w:rFonts w:ascii="Times New Roman" w:hAnsi="Times New Roman" w:cs="Times New Roman"/>
          <w:color w:val="FF0000"/>
          <w:sz w:val="24"/>
          <w:szCs w:val="24"/>
        </w:rPr>
        <w:t>.</w:t>
      </w:r>
      <w:r>
        <w:rPr>
          <w:rFonts w:ascii="Times New Roman" w:hAnsi="Times New Roman" w:cs="Times New Roman"/>
          <w:sz w:val="24"/>
          <w:szCs w:val="24"/>
        </w:rPr>
        <w:t xml:space="preserve"> Our campaign expanded to help them understand how they can make a positive impact on their community</w:t>
      </w:r>
      <w:r>
        <w:rPr>
          <w:rFonts w:ascii="Times New Roman" w:hAnsi="Times New Roman" w:cs="Times New Roman"/>
          <w:bCs/>
          <w:sz w:val="24"/>
          <w:szCs w:val="24"/>
        </w:rPr>
        <w:t>. Guiding students on how they can form clubs inside their school and engage in extracurricular activities, all while sparking a problem solving attitude in them, our campaign achieved a major success.</w:t>
      </w:r>
    </w:p>
    <w:p w14:paraId="6BED6C14">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We then went on to our next project. We stayed at Brahmeshwor Gurukul, firstly just as a guest, but when we realized that despite them having all the computer resources they needed, no one was using them. Then our next project of connecting Tech to Veda began. We gave them training on how to use computers, we taught them the wonders of Artificial Intelligence and how can we implement those things on real life. </w:t>
      </w:r>
      <w:r>
        <w:rPr>
          <w:rFonts w:ascii="Times New Roman" w:hAnsi="Times New Roman" w:cs="Times New Roman"/>
          <w:color w:val="000000" w:themeColor="text1"/>
          <w:sz w:val="24"/>
          <w:szCs w:val="24"/>
          <w14:textFill>
            <w14:solidFill>
              <w14:schemeClr w14:val="tx1"/>
            </w14:solidFill>
          </w14:textFill>
        </w:rPr>
        <w:t>We are still on the process of researching on this project, about the implementation to connect Veda with tech more intuitively. Our major objective is to connect other students with spirituality, which have been with us from centuries.</w:t>
      </w:r>
    </w:p>
    <w:p w14:paraId="0E5832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third project started when we were approached by Gyanodaya School, by seeing the potential of us through above two projects. We wanted to conduct the same project as we did in Shri Chandra Jyoti School, but due to the large volume of students, the school administration suggested us to do something for the scout. So we prepared a Problem-solving and Leadership Training presentation. We implemented many interactive games in our sessions which would teach them something deeper about their career and future. Those scout students were by far the most enthusiastic and best audience we had till then. After getting lot of positive feedback from them, we conducted a similar project at Padmodaya School (Namuna School of Kathmandu) as well. </w:t>
      </w:r>
    </w:p>
    <w:p w14:paraId="688F8C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most recent project was to collaborate (informally) with the BaBa program of Kathmandu Metro in helping generate awareness among the people about our environment on World Environment Day. We, along with other organizations creatively raised awareness for the serious issue of climate change. </w:t>
      </w:r>
    </w:p>
    <w:p w14:paraId="65FF3F4D">
      <w:pPr>
        <w:spacing w:line="360" w:lineRule="auto"/>
        <w:jc w:val="both"/>
        <w:rPr>
          <w:rFonts w:ascii="Times New Roman" w:hAnsi="Times New Roman" w:cs="Times New Roman"/>
          <w:sz w:val="24"/>
          <w:szCs w:val="24"/>
        </w:rPr>
      </w:pPr>
      <w:r>
        <w:rPr>
          <w:rFonts w:ascii="Times New Roman" w:hAnsi="Times New Roman" w:cs="Times New Roman"/>
          <w:sz w:val="24"/>
          <w:szCs w:val="24"/>
        </w:rPr>
        <w:t>While all these projects seem vastly different from one another, we tried to develop Problem-Solving attitude in the audience. We developed our presentations in such a way that they could figure out the solutions by themselves. This is what we want to do and pursue.</w:t>
      </w:r>
    </w:p>
    <w:p w14:paraId="0C2C561A">
      <w:pPr>
        <w:spacing w:line="360" w:lineRule="auto"/>
        <w:jc w:val="both"/>
        <w:rPr>
          <w:rFonts w:ascii="Times New Roman" w:hAnsi="Times New Roman" w:cs="Times New Roman"/>
          <w:sz w:val="24"/>
          <w:szCs w:val="24"/>
        </w:rPr>
      </w:pPr>
      <w:r>
        <w:rPr>
          <w:rFonts w:ascii="Times New Roman" w:hAnsi="Times New Roman" w:cs="Times New Roman"/>
          <w:sz w:val="24"/>
          <w:szCs w:val="24"/>
        </w:rPr>
        <w:t>We make learning a fun process; we are employing interactive sessions, game, group discussions, debate between students, solo presentations, field trips to provide them exposure. We simply want to change the existing petrol system happening in the country.</w:t>
      </w:r>
    </w:p>
    <w:p w14:paraId="598185F5">
      <w:pPr>
        <w:spacing w:line="360" w:lineRule="auto"/>
        <w:jc w:val="both"/>
        <w:rPr>
          <w:rFonts w:ascii="Times New Roman" w:hAnsi="Times New Roman" w:cs="Times New Roman"/>
          <w:sz w:val="24"/>
          <w:szCs w:val="24"/>
        </w:rPr>
      </w:pPr>
    </w:p>
    <w:p w14:paraId="777118A6">
      <w:pPr>
        <w:spacing w:line="360" w:lineRule="auto"/>
        <w:jc w:val="both"/>
        <w:rPr>
          <w:rFonts w:ascii="Times New Roman" w:hAnsi="Times New Roman" w:cs="Times New Roman"/>
          <w:sz w:val="24"/>
          <w:szCs w:val="24"/>
        </w:rPr>
      </w:pPr>
    </w:p>
    <w:p w14:paraId="430E82C6">
      <w:pPr>
        <w:spacing w:line="360" w:lineRule="auto"/>
        <w:jc w:val="both"/>
        <w:rPr>
          <w:rFonts w:ascii="Times New Roman" w:hAnsi="Times New Roman" w:cs="Times New Roman"/>
          <w:sz w:val="24"/>
          <w:szCs w:val="24"/>
        </w:rPr>
      </w:pPr>
    </w:p>
    <w:p w14:paraId="0CB15E93">
      <w:pPr>
        <w:spacing w:line="360" w:lineRule="auto"/>
        <w:jc w:val="both"/>
        <w:rPr>
          <w:rFonts w:ascii="Times New Roman" w:hAnsi="Times New Roman" w:cs="Times New Roman"/>
          <w:sz w:val="24"/>
          <w:szCs w:val="24"/>
        </w:rPr>
      </w:pPr>
      <w:r>
        <w:rPr>
          <w:rFonts w:ascii="Times New Roman" w:hAnsi="Times New Roman" w:cs="Times New Roman"/>
          <w:sz w:val="24"/>
          <w:szCs w:val="24"/>
        </w:rPr>
        <w:t>How are we unique?</w:t>
      </w:r>
    </w:p>
    <w:p w14:paraId="4F743DA2">
      <w:pPr>
        <w:spacing w:line="360" w:lineRule="auto"/>
        <w:jc w:val="both"/>
        <w:rPr>
          <w:rFonts w:ascii="Times New Roman" w:hAnsi="Times New Roman" w:cs="Times New Roman"/>
          <w:sz w:val="24"/>
          <w:szCs w:val="24"/>
        </w:rPr>
      </w:pPr>
      <w:r>
        <w:rPr>
          <w:rFonts w:ascii="Times New Roman" w:hAnsi="Times New Roman" w:cs="Times New Roman"/>
          <w:sz w:val="24"/>
          <w:szCs w:val="24"/>
        </w:rPr>
        <w:t>First of all we are giving things that we couldn’t get. We want students to have sufficient exposure regarding things that generally matter in not only their academics but in their whole life. For attaining our goal, we are not just paving our path through advocacy. Yes, we go to school and explain things, but we do it in a very unique way. We let students interact among themselves, run debate sessions, handle group discussions, organize problem-solving sessions, advocate about necessary things through different games so that they don’t feel like they are being suggested. At the end of the sessions they will be able to connect all the dots and get the necessary exposure for their learning path.</w:t>
      </w:r>
    </w:p>
    <w:p w14:paraId="7604D411">
      <w:pPr>
        <w:spacing w:line="360" w:lineRule="auto"/>
        <w:jc w:val="both"/>
        <w:rPr>
          <w:rFonts w:ascii="Times New Roman" w:hAnsi="Times New Roman" w:cs="Times New Roman"/>
          <w:sz w:val="24"/>
          <w:szCs w:val="24"/>
        </w:rPr>
      </w:pPr>
      <w:r>
        <w:rPr>
          <w:rFonts w:ascii="Times New Roman" w:hAnsi="Times New Roman" w:cs="Times New Roman"/>
          <w:sz w:val="24"/>
          <w:szCs w:val="24"/>
        </w:rPr>
        <w:t>Second, we are not just limited in advocacy. After running advocacy sessions, we organize different camps and provide them the opportunity to learn things by doing. For example, by running enterprenuial spark, we will provide the opportunity to students who are interested in carrying out business or studying economics, accounting, computer science and other field too by being involved in product development activity.</w:t>
      </w:r>
    </w:p>
    <w:p w14:paraId="5370D289">
      <w:pPr>
        <w:pStyle w:val="5"/>
        <w:shd w:val="clear" w:color="auto" w:fill="FFFFFF"/>
        <w:spacing w:before="300" w:beforeAutospacing="0" w:after="300" w:afterAutospacing="0" w:line="360" w:lineRule="auto"/>
        <w:jc w:val="both"/>
        <w:rPr>
          <w:color w:val="0D0D0D"/>
        </w:rPr>
      </w:pPr>
      <w:r>
        <w:t>Then, we plan on to distribute our sessions throughout the country. As we are limited in Kathmandu or any districts near to the Kathmandu, we planned on to transmit our program to the interested students who are willing to coordinate to us.</w:t>
      </w:r>
      <w:r>
        <w:rPr>
          <w:rStyle w:val="6"/>
          <w:b w:val="0"/>
          <w:bCs w:val="0"/>
          <w:color w:val="0D0D0D"/>
        </w:rPr>
        <w:t xml:space="preserve"> We will provide them with all the necessary training before they deliver this to their school. This will cover all parts of our nation, where we can't go. We have many interested people who are willing to do this already.</w:t>
      </w:r>
    </w:p>
    <w:p w14:paraId="3F4BAC46">
      <w:pPr>
        <w:spacing w:line="360" w:lineRule="auto"/>
        <w:jc w:val="both"/>
        <w:rPr>
          <w:rFonts w:ascii="Times New Roman" w:hAnsi="Times New Roman" w:cs="Times New Roman"/>
          <w:sz w:val="24"/>
          <w:szCs w:val="24"/>
        </w:rPr>
      </w:pPr>
    </w:p>
    <w:p w14:paraId="1BEFD0DB">
      <w:pPr>
        <w:spacing w:line="360" w:lineRule="auto"/>
        <w:jc w:val="both"/>
        <w:rPr>
          <w:rFonts w:ascii="Times New Roman" w:hAnsi="Times New Roman" w:cs="Times New Roman"/>
          <w:sz w:val="24"/>
          <w:szCs w:val="24"/>
        </w:rPr>
      </w:pPr>
    </w:p>
    <w:p w14:paraId="5A2C17E1">
      <w:pPr>
        <w:spacing w:line="360" w:lineRule="auto"/>
        <w:jc w:val="both"/>
        <w:rPr>
          <w:rFonts w:ascii="Times New Roman" w:hAnsi="Times New Roman" w:cs="Times New Roman"/>
          <w:sz w:val="24"/>
          <w:szCs w:val="24"/>
        </w:rPr>
      </w:pPr>
      <w:r>
        <w:rPr>
          <w:rFonts w:ascii="Times New Roman" w:hAnsi="Times New Roman" w:cs="Times New Roman"/>
          <w:sz w:val="24"/>
          <w:szCs w:val="24"/>
          <w:lang w:bidi="ne-NP"/>
        </w:rPr>
        <w:drawing>
          <wp:inline distT="0" distB="0" distL="0" distR="0">
            <wp:extent cx="6146800" cy="1515110"/>
            <wp:effectExtent l="38100" t="0" r="25400" b="889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6A5D45F">
      <w:pPr>
        <w:spacing w:line="360" w:lineRule="auto"/>
        <w:jc w:val="both"/>
        <w:rPr>
          <w:rFonts w:ascii="Times New Roman" w:hAnsi="Times New Roman" w:cs="Times New Roman"/>
          <w:b/>
          <w:sz w:val="24"/>
          <w:szCs w:val="24"/>
        </w:rPr>
      </w:pPr>
    </w:p>
    <w:p w14:paraId="5865FD77">
      <w:pPr>
        <w:spacing w:line="360" w:lineRule="auto"/>
        <w:jc w:val="both"/>
        <w:rPr>
          <w:rFonts w:ascii="Times New Roman" w:hAnsi="Times New Roman" w:cs="Times New Roman"/>
          <w:b/>
          <w:sz w:val="24"/>
          <w:szCs w:val="24"/>
        </w:rPr>
      </w:pPr>
      <w:r>
        <w:rPr>
          <w:rFonts w:ascii="Times New Roman" w:hAnsi="Times New Roman" w:cs="Times New Roman"/>
          <w:b/>
          <w:sz w:val="24"/>
          <w:szCs w:val="24"/>
        </w:rPr>
        <w:t>How do we run our program?</w:t>
      </w:r>
    </w:p>
    <w:p w14:paraId="59B1FDE8">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run surveys throughout the country to know what problems students are facing, what are their core needs to flourish their overall academic experience.</w:t>
      </w:r>
    </w:p>
    <w:p w14:paraId="6BCC1D66">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take a need based assement test in the school one or two days before our main session.</w:t>
      </w:r>
    </w:p>
    <w:p w14:paraId="06180900">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take the inspiration for our content based on our existing research, surveys, and need based assement test and generate our content.</w:t>
      </w:r>
    </w:p>
    <w:p w14:paraId="77D1CE4B">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Then after going to the school, we first conduct a baseline survey also known as diagnostic test to know their current ability.</w:t>
      </w:r>
    </w:p>
    <w:p w14:paraId="19D73976">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conduct our main sessions.</w:t>
      </w:r>
    </w:p>
    <w:p w14:paraId="3AD009DB">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then take end line survey at the end our session and compare the impact we had with the results from our diagnostic test.</w:t>
      </w:r>
    </w:p>
    <w:p w14:paraId="1FDE5954">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validate our impact through teachers and students by taking interviews.</w:t>
      </w:r>
    </w:p>
    <w:p w14:paraId="4441EEFF">
      <w:pPr>
        <w:pStyle w:val="8"/>
        <w:numPr>
          <w:ilvl w:val="0"/>
          <w:numId w:val="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We then prepare our final draft for the second session to be handled in the same school.</w:t>
      </w:r>
    </w:p>
    <w:p w14:paraId="48394A60">
      <w:pPr>
        <w:spacing w:line="360" w:lineRule="auto"/>
        <w:ind w:left="360"/>
        <w:jc w:val="both"/>
        <w:rPr>
          <w:rFonts w:ascii="Times New Roman" w:hAnsi="Times New Roman" w:cs="Times New Roman"/>
          <w:b/>
          <w:sz w:val="24"/>
          <w:szCs w:val="24"/>
        </w:rPr>
      </w:pPr>
    </w:p>
    <w:p w14:paraId="689D0706">
      <w:pPr>
        <w:spacing w:line="360" w:lineRule="auto"/>
        <w:jc w:val="both"/>
        <w:rPr>
          <w:rFonts w:ascii="Times New Roman" w:hAnsi="Times New Roman" w:cs="Times New Roman"/>
          <w:b/>
          <w:sz w:val="24"/>
          <w:szCs w:val="24"/>
        </w:rPr>
      </w:pPr>
      <w:r>
        <w:rPr>
          <w:rFonts w:ascii="Times New Roman" w:hAnsi="Times New Roman" w:cs="Times New Roman"/>
          <w:b/>
          <w:sz w:val="24"/>
          <w:szCs w:val="24"/>
        </w:rPr>
        <w:t>Future Plans:</w:t>
      </w:r>
    </w:p>
    <w:p w14:paraId="6B236DC8">
      <w:pPr>
        <w:spacing w:line="360" w:lineRule="auto"/>
        <w:jc w:val="both"/>
        <w:rPr>
          <w:rFonts w:ascii="Times New Roman" w:hAnsi="Times New Roman" w:cs="Times New Roman"/>
          <w:sz w:val="24"/>
          <w:szCs w:val="24"/>
        </w:rPr>
      </w:pPr>
      <w:r>
        <w:rPr>
          <w:rFonts w:ascii="Times New Roman" w:hAnsi="Times New Roman" w:cs="Times New Roman"/>
          <w:sz w:val="24"/>
          <w:szCs w:val="24"/>
        </w:rPr>
        <w:t>Before discussing about what our future projects are, we would like to give a brief introduction to the team members of our organization who will be carrying out different projects in the future.</w:t>
      </w:r>
    </w:p>
    <w:p w14:paraId="4937947B">
      <w:pPr>
        <w:pStyle w:val="8"/>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Anupam Neupane (co- founder)</w:t>
      </w:r>
    </w:p>
    <w:p w14:paraId="74481237">
      <w:pPr>
        <w:pStyle w:val="8"/>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Prajwal Dhungana ( co- founder)</w:t>
      </w:r>
    </w:p>
    <w:p w14:paraId="0BEFB887">
      <w:pPr>
        <w:pStyle w:val="8"/>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Biyog Man Dangol( co- founder) </w:t>
      </w:r>
    </w:p>
    <w:p w14:paraId="0686BFEE">
      <w:pPr>
        <w:pStyle w:val="8"/>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Krishav Jung Shahi ( event manager) </w:t>
      </w:r>
    </w:p>
    <w:p w14:paraId="7A7DB95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Collaborating with a highly successful and popular educational organization of Nepal, Gurubaa International will undoubtedly be our one of the biggest successes. We would like to do projects which are finalized by our team which are: </w:t>
      </w:r>
    </w:p>
    <w:p w14:paraId="443D35EC">
      <w:pPr>
        <w:spacing w:line="360" w:lineRule="auto"/>
        <w:jc w:val="both"/>
        <w:rPr>
          <w:rFonts w:ascii="Times New Roman" w:hAnsi="Times New Roman" w:cs="Times New Roman"/>
          <w:b/>
          <w:sz w:val="24"/>
          <w:szCs w:val="24"/>
        </w:rPr>
      </w:pPr>
      <w:r>
        <w:rPr>
          <w:rFonts w:ascii="Times New Roman" w:hAnsi="Times New Roman" w:cs="Times New Roman"/>
          <w:b/>
          <w:sz w:val="24"/>
          <w:szCs w:val="24"/>
        </w:rPr>
        <w:t>What’s Next? Campaign</w:t>
      </w:r>
    </w:p>
    <w:p w14:paraId="7B4A726D">
      <w:pPr>
        <w:spacing w:before="100" w:beforeAutospacing="1" w:after="100" w:afterAutospacing="1" w:line="360" w:lineRule="auto"/>
        <w:ind w:left="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 plan to continue and expand our "What's Next?" campaign, providing comprehensive counseling to students on their post-secondary options. We anticipate conducting this program in designated colleges from July 22, Friday.</w:t>
      </w:r>
    </w:p>
    <w:p w14:paraId="7214BBAD">
      <w:pPr>
        <w:pStyle w:val="5"/>
        <w:shd w:val="clear" w:color="auto" w:fill="FFFFFF"/>
        <w:spacing w:before="300" w:beforeAutospacing="0" w:after="300" w:afterAutospacing="0" w:line="360" w:lineRule="auto"/>
        <w:ind w:left="360"/>
        <w:jc w:val="both"/>
        <w:rPr>
          <w:color w:val="0D0D0D"/>
        </w:rPr>
      </w:pPr>
      <w:r>
        <w:rPr>
          <w:color w:val="0D0D0D"/>
        </w:rPr>
        <w:t>The main objective of this program is to provide guidance and support to students as they navigate their educational paths after completing their 12th grade. Our program aims to:</w:t>
      </w:r>
    </w:p>
    <w:p w14:paraId="2070D442">
      <w:pPr>
        <w:pStyle w:val="5"/>
        <w:numPr>
          <w:ilvl w:val="0"/>
          <w:numId w:val="4"/>
        </w:numPr>
        <w:shd w:val="clear" w:color="auto" w:fill="FFFFFF"/>
        <w:spacing w:before="300" w:beforeAutospacing="0" w:after="300" w:afterAutospacing="0" w:line="360" w:lineRule="auto"/>
        <w:jc w:val="both"/>
        <w:rPr>
          <w:color w:val="0D0D0D"/>
        </w:rPr>
      </w:pPr>
      <w:r>
        <w:rPr>
          <w:rStyle w:val="6"/>
          <w:color w:val="0D0D0D"/>
          <w:bdr w:val="single" w:color="E3E3E3" w:sz="2" w:space="0"/>
        </w:rPr>
        <w:t>Empower Students</w:t>
      </w:r>
      <w:r>
        <w:rPr>
          <w:color w:val="0D0D0D"/>
        </w:rPr>
        <w:t>: We will help students understand the various options available to them after 12th grade, including different fields and colleges. Our goal is to equip them with the knowledge to make informed decisions about their future education.</w:t>
      </w:r>
    </w:p>
    <w:p w14:paraId="238BBDEC">
      <w:pPr>
        <w:pStyle w:val="5"/>
        <w:numPr>
          <w:ilvl w:val="0"/>
          <w:numId w:val="4"/>
        </w:numPr>
        <w:shd w:val="clear" w:color="auto" w:fill="FFFFFF"/>
        <w:spacing w:before="300" w:beforeAutospacing="0" w:after="300" w:afterAutospacing="0" w:line="360" w:lineRule="auto"/>
        <w:jc w:val="both"/>
        <w:rPr>
          <w:color w:val="0D0D0D"/>
        </w:rPr>
      </w:pPr>
      <w:r>
        <w:rPr>
          <w:rStyle w:val="6"/>
          <w:color w:val="0D0D0D"/>
          <w:bdr w:val="single" w:color="E3E3E3" w:sz="2" w:space="0"/>
        </w:rPr>
        <w:t>College and Course Selection</w:t>
      </w:r>
      <w:r>
        <w:rPr>
          <w:color w:val="0D0D0D"/>
        </w:rPr>
        <w:t>: We will present detailed information on how students can choose the best college and course that aligns with their interests, strengths, and career aspirations. This will include insights into admission processes, scholarship opportunities, and factors to consider when making their choices.</w:t>
      </w:r>
    </w:p>
    <w:p w14:paraId="4301C753">
      <w:pPr>
        <w:pStyle w:val="5"/>
        <w:numPr>
          <w:ilvl w:val="0"/>
          <w:numId w:val="4"/>
        </w:numPr>
        <w:shd w:val="clear" w:color="auto" w:fill="FFFFFF"/>
        <w:spacing w:before="300" w:beforeAutospacing="0" w:after="300" w:afterAutospacing="0" w:line="360" w:lineRule="auto"/>
        <w:jc w:val="both"/>
        <w:rPr>
          <w:color w:val="0D0D0D"/>
        </w:rPr>
      </w:pPr>
      <w:r>
        <w:rPr>
          <w:rStyle w:val="6"/>
          <w:color w:val="0D0D0D"/>
        </w:rPr>
        <w:t>Skill Development for Student Clubs</w:t>
      </w:r>
      <w:r>
        <w:rPr>
          <w:color w:val="0D0D0D"/>
        </w:rPr>
        <w:t>: In addition to academic guidance, we will provide students with the skills needed to establish and run successful student clubs within their school. This includes leadership, organization, communication, and teamwork skills, which are essential for personal development and fostering a vibrant school community.</w:t>
      </w:r>
    </w:p>
    <w:p w14:paraId="364884A8">
      <w:pPr>
        <w:pStyle w:val="8"/>
        <w:spacing w:line="360" w:lineRule="auto"/>
        <w:jc w:val="both"/>
        <w:rPr>
          <w:rFonts w:ascii="Times New Roman" w:hAnsi="Times New Roman" w:cs="Times New Roman"/>
          <w:sz w:val="24"/>
          <w:szCs w:val="24"/>
        </w:rPr>
      </w:pPr>
      <w:r>
        <w:rPr>
          <w:rFonts w:ascii="Times New Roman" w:hAnsi="Times New Roman" w:cs="Times New Roman"/>
          <w:sz w:val="24"/>
          <w:szCs w:val="24"/>
        </w:rPr>
        <w:t>We have felt first hand and still see that students of grade 9 and 10 develop a passion for things like sports, community engagement and research, but as they transition themselves to +2 phase, the burden of books, exams and continuous fear of getting left behind makes student monotonous on studies and are compelled to pause their passion. We want to revive that passion in them and provide them a platform where they can showcase their talent other that studies. We are determined to help those students in making use of their talent and making their school studies fun. We incorporate ideas like VR and hands on experience to the various concepts they learn in their classrooms. In short, we aim to free the minds of students from the walls of classrooms and let them see the vast universe of vast opportunities and spark a enthusiasm to change the world in a better way.</w:t>
      </w:r>
    </w:p>
    <w:p w14:paraId="17160224">
      <w:pPr>
        <w:pStyle w:val="5"/>
        <w:shd w:val="clear" w:color="auto" w:fill="FFFFFF"/>
        <w:spacing w:before="300" w:beforeAutospacing="0" w:after="300" w:afterAutospacing="0" w:line="360" w:lineRule="auto"/>
        <w:ind w:left="720"/>
        <w:jc w:val="both"/>
        <w:rPr>
          <w:color w:val="0D0D0D"/>
        </w:rPr>
      </w:pPr>
    </w:p>
    <w:p w14:paraId="425CE224">
      <w:pPr>
        <w:pStyle w:val="5"/>
        <w:shd w:val="clear" w:color="auto" w:fill="FFFFFF"/>
        <w:spacing w:before="300" w:beforeAutospacing="0" w:after="300" w:afterAutospacing="0" w:line="360" w:lineRule="auto"/>
        <w:jc w:val="both"/>
        <w:rPr>
          <w:rStyle w:val="6"/>
          <w:color w:val="0D0D0D"/>
        </w:rPr>
      </w:pPr>
      <w:r>
        <w:rPr>
          <w:rStyle w:val="6"/>
          <w:color w:val="0D0D0D"/>
        </w:rPr>
        <w:t>Going Nation-wide:</w:t>
      </w:r>
    </w:p>
    <w:p w14:paraId="005C485D">
      <w:pPr>
        <w:pStyle w:val="5"/>
        <w:shd w:val="clear" w:color="auto" w:fill="FFFFFF"/>
        <w:spacing w:before="300" w:beforeAutospacing="0" w:after="300" w:afterAutospacing="0" w:line="360" w:lineRule="auto"/>
        <w:jc w:val="both"/>
        <w:rPr>
          <w:color w:val="0D0D0D"/>
        </w:rPr>
      </w:pPr>
      <w:r>
        <w:rPr>
          <w:rStyle w:val="6"/>
          <w:color w:val="0D0D0D"/>
        </w:rPr>
        <w:tab/>
      </w:r>
      <w:r>
        <w:rPr>
          <w:rStyle w:val="6"/>
          <w:b w:val="0"/>
          <w:bCs w:val="0"/>
          <w:color w:val="0D0D0D"/>
        </w:rPr>
        <w:t>We plan to distribute all our resources to the people interested in doing this project in their hometown. We will provide them with all the necessary training before they deliver this to their school. This will cover all parts of our nation, where we can't go. We have many interested people who are willing to do this already.</w:t>
      </w:r>
    </w:p>
    <w:p w14:paraId="6F50BD9F">
      <w:pPr>
        <w:pStyle w:val="5"/>
        <w:pBdr>
          <w:top w:val="single" w:color="E3E3E3" w:sz="2" w:space="0"/>
          <w:left w:val="single" w:color="E3E3E3" w:sz="2" w:space="5"/>
          <w:bottom w:val="single" w:color="E3E3E3" w:sz="2" w:space="0"/>
          <w:right w:val="single" w:color="E3E3E3" w:sz="2" w:space="0"/>
        </w:pBdr>
        <w:shd w:val="clear" w:color="auto" w:fill="FFFFFF"/>
        <w:spacing w:before="300" w:beforeAutospacing="0" w:after="300" w:afterAutospacing="0" w:line="360" w:lineRule="auto"/>
        <w:ind w:left="360"/>
        <w:jc w:val="both"/>
        <w:rPr>
          <w:color w:val="0D0D0D"/>
        </w:rPr>
      </w:pPr>
      <w:r>
        <w:rPr>
          <w:rStyle w:val="6"/>
          <w:color w:val="0D0D0D"/>
          <w:bdr w:val="single" w:color="E3E3E3" w:sz="2" w:space="0"/>
        </w:rPr>
        <w:t>Event schedule</w:t>
      </w:r>
      <w:r>
        <w:t>:</w:t>
      </w:r>
      <w:r>
        <w:rPr>
          <w:color w:val="0D0D0D"/>
        </w:rPr>
        <w:t xml:space="preserve"> Cover atleast 15 schools ourselves within July 6. Through our distribution of project, complete atleast 30 projects within that time frame. We will continue to distribute this project to others, while we will shift our focus to our other projects.</w:t>
      </w:r>
    </w:p>
    <w:p w14:paraId="0787728E">
      <w:pPr>
        <w:pStyle w:val="5"/>
        <w:pBdr>
          <w:top w:val="single" w:color="E3E3E3" w:sz="2" w:space="0"/>
          <w:left w:val="single" w:color="E3E3E3" w:sz="2" w:space="5"/>
          <w:bottom w:val="single" w:color="E3E3E3" w:sz="2" w:space="0"/>
          <w:right w:val="single" w:color="E3E3E3" w:sz="2" w:space="0"/>
        </w:pBdr>
        <w:shd w:val="clear" w:color="auto" w:fill="FFFFFF"/>
        <w:spacing w:before="300" w:beforeAutospacing="0" w:after="300" w:afterAutospacing="0" w:line="360" w:lineRule="auto"/>
        <w:ind w:left="360"/>
        <w:jc w:val="both"/>
        <w:rPr>
          <w:color w:val="0D0D0D"/>
        </w:rPr>
      </w:pPr>
    </w:p>
    <w:p w14:paraId="724261C3">
      <w:pPr>
        <w:pStyle w:val="5"/>
        <w:shd w:val="clear" w:color="auto" w:fill="FFFFFF"/>
        <w:spacing w:before="300" w:beforeAutospacing="0" w:after="300" w:afterAutospacing="0" w:line="360" w:lineRule="auto"/>
        <w:jc w:val="both"/>
        <w:rPr>
          <w:color w:val="0D0D0D"/>
        </w:rPr>
      </w:pPr>
      <w:r>
        <w:rPr>
          <w:color w:val="0D0D0D"/>
        </w:rPr>
        <w:t>We believe that this program will greatly benefit students by providing them with valuable information and skills that are crucial for their academic and personal growth. Our team comprises experienced professionals who are passionate about education and committed to making a positive impact on students' lives.</w:t>
      </w:r>
    </w:p>
    <w:p w14:paraId="77AD6E2C">
      <w:pPr>
        <w:pStyle w:val="5"/>
        <w:shd w:val="clear" w:color="auto" w:fill="FFFFFF"/>
        <w:spacing w:before="300" w:beforeAutospacing="0" w:after="300" w:afterAutospacing="0" w:line="360" w:lineRule="auto"/>
        <w:jc w:val="both"/>
        <w:rPr>
          <w:color w:val="0D0D0D"/>
        </w:rPr>
      </w:pPr>
    </w:p>
    <w:p w14:paraId="431C3054">
      <w:pPr>
        <w:pStyle w:val="5"/>
        <w:shd w:val="clear" w:color="auto" w:fill="FFFFFF"/>
        <w:spacing w:before="300" w:beforeAutospacing="0" w:after="300" w:afterAutospacing="0" w:line="360" w:lineRule="auto"/>
        <w:jc w:val="center"/>
        <w:rPr>
          <w:b/>
          <w:color w:val="0D0D0D"/>
        </w:rPr>
      </w:pPr>
      <w:bookmarkStart w:id="0" w:name="_GoBack"/>
      <w:bookmarkEnd w:id="0"/>
      <w:r>
        <w:rPr>
          <w:b/>
          <w:color w:val="0D0D0D"/>
        </w:rPr>
        <w:t>We will make a learning a fun process.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D2BFC"/>
    <w:multiLevelType w:val="multilevel"/>
    <w:tmpl w:val="062D2BF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3A317D0"/>
    <w:multiLevelType w:val="multilevel"/>
    <w:tmpl w:val="13A317D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F404DC4"/>
    <w:multiLevelType w:val="multilevel"/>
    <w:tmpl w:val="3F404D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3643BF1"/>
    <w:multiLevelType w:val="multilevel"/>
    <w:tmpl w:val="63643B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7C4"/>
    <w:rsid w:val="00016A0B"/>
    <w:rsid w:val="00054746"/>
    <w:rsid w:val="00061350"/>
    <w:rsid w:val="001644CE"/>
    <w:rsid w:val="00191C53"/>
    <w:rsid w:val="001E2701"/>
    <w:rsid w:val="001E6DCD"/>
    <w:rsid w:val="002568D6"/>
    <w:rsid w:val="002A052D"/>
    <w:rsid w:val="002D15F2"/>
    <w:rsid w:val="003218E1"/>
    <w:rsid w:val="00441387"/>
    <w:rsid w:val="004A7B40"/>
    <w:rsid w:val="004C2D71"/>
    <w:rsid w:val="004E64D2"/>
    <w:rsid w:val="005859B3"/>
    <w:rsid w:val="005B0162"/>
    <w:rsid w:val="00626B4B"/>
    <w:rsid w:val="00640378"/>
    <w:rsid w:val="0065338E"/>
    <w:rsid w:val="007045BA"/>
    <w:rsid w:val="008233EA"/>
    <w:rsid w:val="008F69B6"/>
    <w:rsid w:val="008F7B77"/>
    <w:rsid w:val="00964AD4"/>
    <w:rsid w:val="009D07C4"/>
    <w:rsid w:val="009E705A"/>
    <w:rsid w:val="009F13C1"/>
    <w:rsid w:val="009F2126"/>
    <w:rsid w:val="009F3A5A"/>
    <w:rsid w:val="00A567A4"/>
    <w:rsid w:val="00B71750"/>
    <w:rsid w:val="00BD1C9C"/>
    <w:rsid w:val="00BF1689"/>
    <w:rsid w:val="00BF35E2"/>
    <w:rsid w:val="00C20F2B"/>
    <w:rsid w:val="00C71563"/>
    <w:rsid w:val="00CF335C"/>
    <w:rsid w:val="00D232A4"/>
    <w:rsid w:val="00D55822"/>
    <w:rsid w:val="00D8410C"/>
    <w:rsid w:val="00DE6EF8"/>
    <w:rsid w:val="00E136C7"/>
    <w:rsid w:val="00E2113F"/>
    <w:rsid w:val="00E60334"/>
    <w:rsid w:val="00E85667"/>
    <w:rsid w:val="00F54FE5"/>
    <w:rsid w:val="65832AEB"/>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8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uiPriority w:val="99"/>
    <w:pPr>
      <w:spacing w:after="0" w:line="240" w:lineRule="auto"/>
    </w:pPr>
    <w:rPr>
      <w:rFonts w:ascii="Tahoma" w:hAnsi="Tahoma" w:cs="Tahoma"/>
      <w:sz w:val="16"/>
      <w:szCs w:val="16"/>
    </w:rPr>
  </w:style>
  <w:style w:type="paragraph" w:styleId="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6">
    <w:name w:val="Strong"/>
    <w:basedOn w:val="2"/>
    <w:qFormat/>
    <w:uiPriority w:val="22"/>
    <w:rPr>
      <w:b/>
      <w:bCs/>
    </w:r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8">
    <w:name w:val="List Paragraph"/>
    <w:basedOn w:val="1"/>
    <w:qFormat/>
    <w:uiPriority w:val="34"/>
    <w:pPr>
      <w:ind w:left="720"/>
      <w:contextualSpacing/>
    </w:pPr>
  </w:style>
  <w:style w:type="character" w:customStyle="1" w:styleId="9">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diagramColors" Target="diagrams/colors1.xml"/><Relationship Id="rId8" Type="http://schemas.openxmlformats.org/officeDocument/2006/relationships/diagramQuickStyle" Target="diagrams/quickStyle1.xml"/><Relationship Id="rId7" Type="http://schemas.openxmlformats.org/officeDocument/2006/relationships/diagramLayout" Target="diagrams/layout1.xml"/><Relationship Id="rId6" Type="http://schemas.openxmlformats.org/officeDocument/2006/relationships/diagramData" Target="diagrams/data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microsoft.com/office/2007/relationships/diagramDrawing" Target="diagrams/drawing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A976113-CE86-4B9F-BEA7-BA345F6B9D91}" type="doc">
      <dgm:prSet loTypeId="urn:microsoft.com/office/officeart/2005/8/layout/process3" loCatId="process" qsTypeId="urn:microsoft.com/office/officeart/2005/8/quickstyle/simple3" qsCatId="simple" csTypeId="urn:microsoft.com/office/officeart/2005/8/colors/accent1_2" csCatId="accent1" phldr="1"/>
      <dgm:spPr/>
    </dgm:pt>
    <dgm:pt modelId="{5E587C13-494E-439D-AA2B-DA0C35BAD24F}">
      <dgm:prSet phldrT="[Text]"/>
      <dgm:spPr/>
      <dgm:t>
        <a:bodyPr/>
        <a:p>
          <a:r>
            <a:rPr lang="en-US"/>
            <a:t>Advocacy</a:t>
          </a:r>
        </a:p>
      </dgm:t>
    </dgm:pt>
    <dgm:pt modelId="{F2A82E4B-173D-41FA-9632-E911C5F7E127}" cxnId="{CA96DCB3-7536-410A-BE05-50CECA21DFD5}" type="parTrans">
      <dgm:prSet/>
      <dgm:spPr/>
      <dgm:t>
        <a:bodyPr/>
        <a:p>
          <a:endParaRPr lang="en-US"/>
        </a:p>
      </dgm:t>
    </dgm:pt>
    <dgm:pt modelId="{D2E0D512-61B7-4294-8A79-E55C2B1AD8E8}" cxnId="{CA96DCB3-7536-410A-BE05-50CECA21DFD5}" type="sibTrans">
      <dgm:prSet/>
      <dgm:spPr/>
      <dgm:t>
        <a:bodyPr/>
        <a:p>
          <a:endParaRPr lang="en-US"/>
        </a:p>
      </dgm:t>
    </dgm:pt>
    <dgm:pt modelId="{5B1D61ED-EB48-4ABF-85AE-5A582750E5FF}">
      <dgm:prSet phldrT="[Text]"/>
      <dgm:spPr/>
      <dgm:t>
        <a:bodyPr/>
        <a:p>
          <a:r>
            <a:rPr lang="en-US"/>
            <a:t>Problem-Solving</a:t>
          </a:r>
        </a:p>
      </dgm:t>
    </dgm:pt>
    <dgm:pt modelId="{6817AA5F-B236-47C5-998F-262F4F01F9C5}" cxnId="{F02CF0A8-436F-4390-9BF3-76FC29B1B395}" type="parTrans">
      <dgm:prSet/>
      <dgm:spPr/>
      <dgm:t>
        <a:bodyPr/>
        <a:p>
          <a:endParaRPr lang="en-US"/>
        </a:p>
      </dgm:t>
    </dgm:pt>
    <dgm:pt modelId="{B03449C2-F541-4C83-BF39-9123C7AC1FB2}" cxnId="{F02CF0A8-436F-4390-9BF3-76FC29B1B395}" type="sibTrans">
      <dgm:prSet/>
      <dgm:spPr/>
      <dgm:t>
        <a:bodyPr/>
        <a:p>
          <a:endParaRPr lang="en-US"/>
        </a:p>
      </dgm:t>
    </dgm:pt>
    <dgm:pt modelId="{6F6AA8C9-5502-4A51-A635-9E79602E0477}">
      <dgm:prSet phldrT="[Text]"/>
      <dgm:spPr/>
      <dgm:t>
        <a:bodyPr/>
        <a:p>
          <a:r>
            <a:rPr lang="en-US"/>
            <a:t>Transmisson</a:t>
          </a:r>
        </a:p>
      </dgm:t>
    </dgm:pt>
    <dgm:pt modelId="{1187203D-CE35-415D-ADDB-EA7B8F5DE128}" cxnId="{72647F1D-D749-468D-AC5B-10C7228FF09A}" type="parTrans">
      <dgm:prSet/>
      <dgm:spPr/>
      <dgm:t>
        <a:bodyPr/>
        <a:p>
          <a:endParaRPr lang="en-US"/>
        </a:p>
      </dgm:t>
    </dgm:pt>
    <dgm:pt modelId="{F7CED23C-820E-4DDC-A919-031F4059D512}" cxnId="{72647F1D-D749-468D-AC5B-10C7228FF09A}" type="sibTrans">
      <dgm:prSet/>
      <dgm:spPr/>
      <dgm:t>
        <a:bodyPr/>
        <a:p>
          <a:endParaRPr lang="en-US"/>
        </a:p>
      </dgm:t>
    </dgm:pt>
    <dgm:pt modelId="{F95EE81F-00A7-4FCB-97C0-7755018BFB2F}">
      <dgm:prSet/>
      <dgm:spPr/>
      <dgm:t>
        <a:bodyPr/>
        <a:p>
          <a:r>
            <a:rPr lang="en-US"/>
            <a:t>Through our conueeling about +2</a:t>
          </a:r>
        </a:p>
      </dgm:t>
    </dgm:pt>
    <dgm:pt modelId="{34455945-427D-4D9D-807D-9033725CEA75}" cxnId="{DF06841B-5B6B-4ECB-AF68-7966907F6A26}" type="parTrans">
      <dgm:prSet/>
      <dgm:spPr/>
      <dgm:t>
        <a:bodyPr/>
        <a:p>
          <a:endParaRPr lang="en-US"/>
        </a:p>
      </dgm:t>
    </dgm:pt>
    <dgm:pt modelId="{162A5706-8549-440A-9635-5F0601E0D6DC}" cxnId="{DF06841B-5B6B-4ECB-AF68-7966907F6A26}" type="sibTrans">
      <dgm:prSet/>
      <dgm:spPr/>
      <dgm:t>
        <a:bodyPr/>
        <a:p>
          <a:endParaRPr lang="en-US"/>
        </a:p>
      </dgm:t>
    </dgm:pt>
    <dgm:pt modelId="{5C7848A2-2698-42A3-A8AE-3D3593B5A054}">
      <dgm:prSet/>
      <dgm:spPr/>
      <dgm:t>
        <a:bodyPr/>
        <a:p>
          <a:endParaRPr lang="en-US"/>
        </a:p>
      </dgm:t>
    </dgm:pt>
    <dgm:pt modelId="{CA1B7B5F-0313-4C76-9FC8-5F1BC70B0F4A}" cxnId="{3B39AA25-FD20-4CA5-8C8A-9B388BCEC28C}" type="parTrans">
      <dgm:prSet/>
      <dgm:spPr/>
      <dgm:t>
        <a:bodyPr/>
        <a:p>
          <a:endParaRPr lang="en-US"/>
        </a:p>
      </dgm:t>
    </dgm:pt>
    <dgm:pt modelId="{1D5D66D6-B690-4497-AC55-CE3708F57027}" cxnId="{3B39AA25-FD20-4CA5-8C8A-9B388BCEC28C}" type="sibTrans">
      <dgm:prSet/>
      <dgm:spPr/>
      <dgm:t>
        <a:bodyPr/>
        <a:p>
          <a:endParaRPr lang="en-US"/>
        </a:p>
      </dgm:t>
    </dgm:pt>
    <dgm:pt modelId="{FE58C159-1EC9-47C3-8421-F221AEC1295B}">
      <dgm:prSet/>
      <dgm:spPr/>
      <dgm:t>
        <a:bodyPr/>
        <a:p>
          <a:r>
            <a:rPr lang="en-US"/>
            <a:t>Through the games we played with lessons hidden in them</a:t>
          </a:r>
        </a:p>
      </dgm:t>
    </dgm:pt>
    <dgm:pt modelId="{2D2B1BEA-B90C-489A-825A-9BA343B9AB2F}" cxnId="{70BC71DF-9F4A-41D7-93A5-9BDF34A55F49}" type="parTrans">
      <dgm:prSet/>
      <dgm:spPr/>
      <dgm:t>
        <a:bodyPr/>
        <a:p>
          <a:endParaRPr lang="en-US"/>
        </a:p>
      </dgm:t>
    </dgm:pt>
    <dgm:pt modelId="{3FFE2134-1F19-4855-B712-8CE7B9596F33}" cxnId="{70BC71DF-9F4A-41D7-93A5-9BDF34A55F49}" type="sibTrans">
      <dgm:prSet/>
      <dgm:spPr/>
      <dgm:t>
        <a:bodyPr/>
        <a:p>
          <a:endParaRPr lang="en-US"/>
        </a:p>
      </dgm:t>
    </dgm:pt>
    <dgm:pt modelId="{91110AE3-6F45-43C4-B694-8A4351678630}">
      <dgm:prSet/>
      <dgm:spPr/>
      <dgm:t>
        <a:bodyPr/>
        <a:p>
          <a:r>
            <a:rPr lang="en-US"/>
            <a:t>Through Distribution of the current project.</a:t>
          </a:r>
        </a:p>
      </dgm:t>
    </dgm:pt>
    <dgm:pt modelId="{F35EBCE3-1005-48B1-858A-227F407F88A1}" cxnId="{8D1DFEF0-645B-40B2-8D70-E9D1844AD81B}" type="parTrans">
      <dgm:prSet/>
      <dgm:spPr/>
      <dgm:t>
        <a:bodyPr/>
        <a:p>
          <a:endParaRPr lang="en-US"/>
        </a:p>
      </dgm:t>
    </dgm:pt>
    <dgm:pt modelId="{01760CEA-729C-44C7-B436-A531F58B599A}" cxnId="{8D1DFEF0-645B-40B2-8D70-E9D1844AD81B}" type="sibTrans">
      <dgm:prSet/>
      <dgm:spPr/>
      <dgm:t>
        <a:bodyPr/>
        <a:p>
          <a:endParaRPr lang="en-US"/>
        </a:p>
      </dgm:t>
    </dgm:pt>
    <dgm:pt modelId="{759F5284-54EC-4954-84A3-16F04CC59818}" type="pres">
      <dgm:prSet presAssocID="{EA976113-CE86-4B9F-BEA7-BA345F6B9D91}" presName="linearFlow" presStyleCnt="0">
        <dgm:presLayoutVars>
          <dgm:dir/>
          <dgm:animLvl val="lvl"/>
          <dgm:resizeHandles val="exact"/>
        </dgm:presLayoutVars>
      </dgm:prSet>
      <dgm:spPr/>
    </dgm:pt>
    <dgm:pt modelId="{E3971E1A-8C27-47A8-A80B-9A908B52525E}" type="pres">
      <dgm:prSet presAssocID="{5E587C13-494E-439D-AA2B-DA0C35BAD24F}" presName="composite" presStyleCnt="0"/>
      <dgm:spPr/>
    </dgm:pt>
    <dgm:pt modelId="{48D2C1F0-A801-4497-8B7E-C1258CBFD96E}" type="pres">
      <dgm:prSet presAssocID="{5E587C13-494E-439D-AA2B-DA0C35BAD24F}" presName="parTx" presStyleLbl="node1" presStyleIdx="0" presStyleCnt="3">
        <dgm:presLayoutVars>
          <dgm:chMax val="0"/>
          <dgm:chPref val="0"/>
          <dgm:bulletEnabled val="1"/>
        </dgm:presLayoutVars>
      </dgm:prSet>
      <dgm:spPr/>
    </dgm:pt>
    <dgm:pt modelId="{3A80C888-361A-4793-8993-911BE7E59F7B}" type="pres">
      <dgm:prSet presAssocID="{5E587C13-494E-439D-AA2B-DA0C35BAD24F}" presName="parSh" presStyleLbl="node1" presStyleIdx="0" presStyleCnt="3"/>
      <dgm:spPr/>
    </dgm:pt>
    <dgm:pt modelId="{AC9AECE1-92E1-4D20-B32F-F22C118FEC38}" type="pres">
      <dgm:prSet presAssocID="{5E587C13-494E-439D-AA2B-DA0C35BAD24F}" presName="desTx" presStyleLbl="fgAcc1" presStyleIdx="0" presStyleCnt="3" custLinFactNeighborX="-553" custLinFactNeighborY="-4235">
        <dgm:presLayoutVars>
          <dgm:bulletEnabled val="1"/>
        </dgm:presLayoutVars>
      </dgm:prSet>
      <dgm:spPr/>
    </dgm:pt>
    <dgm:pt modelId="{AD7E16B0-CCAC-46D8-982E-7D8346307C89}" type="pres">
      <dgm:prSet presAssocID="{D2E0D512-61B7-4294-8A79-E55C2B1AD8E8}" presName="sibTrans" presStyleLbl="sibTrans2D1" presStyleIdx="0" presStyleCnt="2"/>
      <dgm:spPr/>
    </dgm:pt>
    <dgm:pt modelId="{AC4B7B3A-D9C6-4368-A062-94F1D824D10D}" type="pres">
      <dgm:prSet presAssocID="{D2E0D512-61B7-4294-8A79-E55C2B1AD8E8}" presName="connTx" presStyleLbl="sibTrans2D1" presStyleIdx="0" presStyleCnt="2"/>
      <dgm:spPr/>
    </dgm:pt>
    <dgm:pt modelId="{1A277169-65A7-4233-9E7F-08484C0CCD5E}" type="pres">
      <dgm:prSet presAssocID="{5B1D61ED-EB48-4ABF-85AE-5A582750E5FF}" presName="composite" presStyleCnt="0"/>
      <dgm:spPr/>
    </dgm:pt>
    <dgm:pt modelId="{9357797F-63F0-44C5-AB16-7EB13B32FF8B}" type="pres">
      <dgm:prSet presAssocID="{5B1D61ED-EB48-4ABF-85AE-5A582750E5FF}" presName="parTx" presStyleLbl="node1" presStyleIdx="0" presStyleCnt="3">
        <dgm:presLayoutVars>
          <dgm:chMax val="0"/>
          <dgm:chPref val="0"/>
          <dgm:bulletEnabled val="1"/>
        </dgm:presLayoutVars>
      </dgm:prSet>
      <dgm:spPr/>
    </dgm:pt>
    <dgm:pt modelId="{48587DDA-AD17-4C82-BF18-963FAC8714F6}" type="pres">
      <dgm:prSet presAssocID="{5B1D61ED-EB48-4ABF-85AE-5A582750E5FF}" presName="parSh" presStyleLbl="node1" presStyleIdx="1" presStyleCnt="3"/>
      <dgm:spPr/>
    </dgm:pt>
    <dgm:pt modelId="{8E411428-CC71-49CC-8B2E-8E1CA0A7EC86}" type="pres">
      <dgm:prSet presAssocID="{5B1D61ED-EB48-4ABF-85AE-5A582750E5FF}" presName="desTx" presStyleLbl="fgAcc1" presStyleIdx="1" presStyleCnt="3">
        <dgm:presLayoutVars>
          <dgm:bulletEnabled val="1"/>
        </dgm:presLayoutVars>
      </dgm:prSet>
      <dgm:spPr/>
    </dgm:pt>
    <dgm:pt modelId="{0D8D2DE3-A581-41DA-8C0A-170541D1A2B8}" type="pres">
      <dgm:prSet presAssocID="{B03449C2-F541-4C83-BF39-9123C7AC1FB2}" presName="sibTrans" presStyleLbl="sibTrans2D1" presStyleIdx="1" presStyleCnt="2"/>
      <dgm:spPr/>
    </dgm:pt>
    <dgm:pt modelId="{9EDC0A7A-085A-4B0D-9780-4553F112E334}" type="pres">
      <dgm:prSet presAssocID="{B03449C2-F541-4C83-BF39-9123C7AC1FB2}" presName="connTx" presStyleLbl="sibTrans2D1" presStyleIdx="1" presStyleCnt="2"/>
      <dgm:spPr/>
    </dgm:pt>
    <dgm:pt modelId="{EB12F012-73EA-49C6-998D-90EFF7E80EE2}" type="pres">
      <dgm:prSet presAssocID="{6F6AA8C9-5502-4A51-A635-9E79602E0477}" presName="composite" presStyleCnt="0"/>
      <dgm:spPr/>
    </dgm:pt>
    <dgm:pt modelId="{E0D6A470-34CC-405E-BEA4-9418985AAD47}" type="pres">
      <dgm:prSet presAssocID="{6F6AA8C9-5502-4A51-A635-9E79602E0477}" presName="parTx" presStyleLbl="node1" presStyleIdx="1" presStyleCnt="3">
        <dgm:presLayoutVars>
          <dgm:chMax val="0"/>
          <dgm:chPref val="0"/>
          <dgm:bulletEnabled val="1"/>
        </dgm:presLayoutVars>
      </dgm:prSet>
      <dgm:spPr/>
    </dgm:pt>
    <dgm:pt modelId="{7558646E-93B4-4E64-975A-EF414BB332B7}" type="pres">
      <dgm:prSet presAssocID="{6F6AA8C9-5502-4A51-A635-9E79602E0477}" presName="parSh" presStyleLbl="node1" presStyleIdx="2" presStyleCnt="3"/>
      <dgm:spPr/>
    </dgm:pt>
    <dgm:pt modelId="{59861D40-A702-46BD-B718-E6D46F2CAD73}" type="pres">
      <dgm:prSet presAssocID="{6F6AA8C9-5502-4A51-A635-9E79602E0477}" presName="desTx" presStyleLbl="fgAcc1" presStyleIdx="2" presStyleCnt="3">
        <dgm:presLayoutVars>
          <dgm:bulletEnabled val="1"/>
        </dgm:presLayoutVars>
      </dgm:prSet>
      <dgm:spPr/>
    </dgm:pt>
  </dgm:ptLst>
  <dgm:cxnLst>
    <dgm:cxn modelId="{89DECE0A-F058-49B6-B42D-DF57235F33B5}" type="presOf" srcId="{B03449C2-F541-4C83-BF39-9123C7AC1FB2}" destId="{0D8D2DE3-A581-41DA-8C0A-170541D1A2B8}" srcOrd="0" destOrd="0" presId="urn:microsoft.com/office/officeart/2005/8/layout/process3"/>
    <dgm:cxn modelId="{B854280C-21B5-480F-96F7-48C0485AB071}" type="presOf" srcId="{5B1D61ED-EB48-4ABF-85AE-5A582750E5FF}" destId="{48587DDA-AD17-4C82-BF18-963FAC8714F6}" srcOrd="1" destOrd="0" presId="urn:microsoft.com/office/officeart/2005/8/layout/process3"/>
    <dgm:cxn modelId="{FA707817-932F-4B21-B791-3A4906473543}" type="presOf" srcId="{B03449C2-F541-4C83-BF39-9123C7AC1FB2}" destId="{9EDC0A7A-085A-4B0D-9780-4553F112E334}" srcOrd="1" destOrd="0" presId="urn:microsoft.com/office/officeart/2005/8/layout/process3"/>
    <dgm:cxn modelId="{FBAFC419-CF54-40BE-BA52-536E98C81CA2}" type="presOf" srcId="{D2E0D512-61B7-4294-8A79-E55C2B1AD8E8}" destId="{AD7E16B0-CCAC-46D8-982E-7D8346307C89}" srcOrd="0" destOrd="0" presId="urn:microsoft.com/office/officeart/2005/8/layout/process3"/>
    <dgm:cxn modelId="{DF06841B-5B6B-4ECB-AF68-7966907F6A26}" srcId="{5E587C13-494E-439D-AA2B-DA0C35BAD24F}" destId="{F95EE81F-00A7-4FCB-97C0-7755018BFB2F}" srcOrd="0" destOrd="0" parTransId="{34455945-427D-4D9D-807D-9033725CEA75}" sibTransId="{162A5706-8549-440A-9635-5F0601E0D6DC}"/>
    <dgm:cxn modelId="{72647F1D-D749-468D-AC5B-10C7228FF09A}" srcId="{EA976113-CE86-4B9F-BEA7-BA345F6B9D91}" destId="{6F6AA8C9-5502-4A51-A635-9E79602E0477}" srcOrd="2" destOrd="0" parTransId="{1187203D-CE35-415D-ADDB-EA7B8F5DE128}" sibTransId="{F7CED23C-820E-4DDC-A919-031F4059D512}"/>
    <dgm:cxn modelId="{2A086223-3893-4FB0-88CC-1B0DAA1C3C0D}" type="presOf" srcId="{5B1D61ED-EB48-4ABF-85AE-5A582750E5FF}" destId="{9357797F-63F0-44C5-AB16-7EB13B32FF8B}" srcOrd="0" destOrd="0" presId="urn:microsoft.com/office/officeart/2005/8/layout/process3"/>
    <dgm:cxn modelId="{3B39AA25-FD20-4CA5-8C8A-9B388BCEC28C}" srcId="{5E587C13-494E-439D-AA2B-DA0C35BAD24F}" destId="{5C7848A2-2698-42A3-A8AE-3D3593B5A054}" srcOrd="1" destOrd="0" parTransId="{CA1B7B5F-0313-4C76-9FC8-5F1BC70B0F4A}" sibTransId="{1D5D66D6-B690-4497-AC55-CE3708F57027}"/>
    <dgm:cxn modelId="{33129044-153E-4D4A-A9D4-92FC2EF02CDE}" type="presOf" srcId="{EA976113-CE86-4B9F-BEA7-BA345F6B9D91}" destId="{759F5284-54EC-4954-84A3-16F04CC59818}" srcOrd="0" destOrd="0" presId="urn:microsoft.com/office/officeart/2005/8/layout/process3"/>
    <dgm:cxn modelId="{1691D646-25D1-40A1-B805-4708B38F9E5B}" type="presOf" srcId="{F95EE81F-00A7-4FCB-97C0-7755018BFB2F}" destId="{AC9AECE1-92E1-4D20-B32F-F22C118FEC38}" srcOrd="0" destOrd="0" presId="urn:microsoft.com/office/officeart/2005/8/layout/process3"/>
    <dgm:cxn modelId="{764EE36C-F1CB-434F-8132-A2757D8FB051}" type="presOf" srcId="{6F6AA8C9-5502-4A51-A635-9E79602E0477}" destId="{7558646E-93B4-4E64-975A-EF414BB332B7}" srcOrd="1" destOrd="0" presId="urn:microsoft.com/office/officeart/2005/8/layout/process3"/>
    <dgm:cxn modelId="{3AFEEA6D-B219-451A-8F3D-89DB2EBA75D0}" type="presOf" srcId="{5E587C13-494E-439D-AA2B-DA0C35BAD24F}" destId="{3A80C888-361A-4793-8993-911BE7E59F7B}" srcOrd="1" destOrd="0" presId="urn:microsoft.com/office/officeart/2005/8/layout/process3"/>
    <dgm:cxn modelId="{E57BEF6F-E267-4F6E-948E-F30968CA7347}" type="presOf" srcId="{D2E0D512-61B7-4294-8A79-E55C2B1AD8E8}" destId="{AC4B7B3A-D9C6-4368-A062-94F1D824D10D}" srcOrd="1" destOrd="0" presId="urn:microsoft.com/office/officeart/2005/8/layout/process3"/>
    <dgm:cxn modelId="{D234F28D-803A-4341-ADF9-402A2470BACD}" type="presOf" srcId="{91110AE3-6F45-43C4-B694-8A4351678630}" destId="{59861D40-A702-46BD-B718-E6D46F2CAD73}" srcOrd="0" destOrd="0" presId="urn:microsoft.com/office/officeart/2005/8/layout/process3"/>
    <dgm:cxn modelId="{F02CF0A8-436F-4390-9BF3-76FC29B1B395}" srcId="{EA976113-CE86-4B9F-BEA7-BA345F6B9D91}" destId="{5B1D61ED-EB48-4ABF-85AE-5A582750E5FF}" srcOrd="1" destOrd="0" parTransId="{6817AA5F-B236-47C5-998F-262F4F01F9C5}" sibTransId="{B03449C2-F541-4C83-BF39-9123C7AC1FB2}"/>
    <dgm:cxn modelId="{CA96DCB3-7536-410A-BE05-50CECA21DFD5}" srcId="{EA976113-CE86-4B9F-BEA7-BA345F6B9D91}" destId="{5E587C13-494E-439D-AA2B-DA0C35BAD24F}" srcOrd="0" destOrd="0" parTransId="{F2A82E4B-173D-41FA-9632-E911C5F7E127}" sibTransId="{D2E0D512-61B7-4294-8A79-E55C2B1AD8E8}"/>
    <dgm:cxn modelId="{4888BEB4-76C9-4C9F-AB1C-B7A89A7F720E}" type="presOf" srcId="{6F6AA8C9-5502-4A51-A635-9E79602E0477}" destId="{E0D6A470-34CC-405E-BEA4-9418985AAD47}" srcOrd="0" destOrd="0" presId="urn:microsoft.com/office/officeart/2005/8/layout/process3"/>
    <dgm:cxn modelId="{32C19FDB-74EE-4B95-AE31-C425E94C1D76}" type="presOf" srcId="{5C7848A2-2698-42A3-A8AE-3D3593B5A054}" destId="{AC9AECE1-92E1-4D20-B32F-F22C118FEC38}" srcOrd="0" destOrd="1" presId="urn:microsoft.com/office/officeart/2005/8/layout/process3"/>
    <dgm:cxn modelId="{70BC71DF-9F4A-41D7-93A5-9BDF34A55F49}" srcId="{5B1D61ED-EB48-4ABF-85AE-5A582750E5FF}" destId="{FE58C159-1EC9-47C3-8421-F221AEC1295B}" srcOrd="0" destOrd="0" parTransId="{2D2B1BEA-B90C-489A-825A-9BA343B9AB2F}" sibTransId="{3FFE2134-1F19-4855-B712-8CE7B9596F33}"/>
    <dgm:cxn modelId="{8D1DFEF0-645B-40B2-8D70-E9D1844AD81B}" srcId="{6F6AA8C9-5502-4A51-A635-9E79602E0477}" destId="{91110AE3-6F45-43C4-B694-8A4351678630}" srcOrd="0" destOrd="0" parTransId="{F35EBCE3-1005-48B1-858A-227F407F88A1}" sibTransId="{01760CEA-729C-44C7-B436-A531F58B599A}"/>
    <dgm:cxn modelId="{36C6C3FC-E42A-44AC-BF42-485299FBD146}" type="presOf" srcId="{FE58C159-1EC9-47C3-8421-F221AEC1295B}" destId="{8E411428-CC71-49CC-8B2E-8E1CA0A7EC86}" srcOrd="0" destOrd="0" presId="urn:microsoft.com/office/officeart/2005/8/layout/process3"/>
    <dgm:cxn modelId="{792B68FD-C7BB-48DE-BB77-BFFBB2E31194}" type="presOf" srcId="{5E587C13-494E-439D-AA2B-DA0C35BAD24F}" destId="{48D2C1F0-A801-4497-8B7E-C1258CBFD96E}" srcOrd="0" destOrd="0" presId="urn:microsoft.com/office/officeart/2005/8/layout/process3"/>
    <dgm:cxn modelId="{A2D45AC7-CFAE-41B1-BC85-6D93A416EC09}" type="presParOf" srcId="{759F5284-54EC-4954-84A3-16F04CC59818}" destId="{E3971E1A-8C27-47A8-A80B-9A908B52525E}" srcOrd="0" destOrd="0" presId="urn:microsoft.com/office/officeart/2005/8/layout/process3"/>
    <dgm:cxn modelId="{0CFD3B06-7BA7-40EB-9053-FDC1B4A0FEFA}" type="presParOf" srcId="{E3971E1A-8C27-47A8-A80B-9A908B52525E}" destId="{48D2C1F0-A801-4497-8B7E-C1258CBFD96E}" srcOrd="0" destOrd="0" presId="urn:microsoft.com/office/officeart/2005/8/layout/process3"/>
    <dgm:cxn modelId="{1D0D72ED-D6B2-4389-9E47-C328BF3C8213}" type="presParOf" srcId="{E3971E1A-8C27-47A8-A80B-9A908B52525E}" destId="{3A80C888-361A-4793-8993-911BE7E59F7B}" srcOrd="1" destOrd="0" presId="urn:microsoft.com/office/officeart/2005/8/layout/process3"/>
    <dgm:cxn modelId="{45DDD408-D5FD-4132-B7FA-6A2C4EE895B6}" type="presParOf" srcId="{E3971E1A-8C27-47A8-A80B-9A908B52525E}" destId="{AC9AECE1-92E1-4D20-B32F-F22C118FEC38}" srcOrd="2" destOrd="0" presId="urn:microsoft.com/office/officeart/2005/8/layout/process3"/>
    <dgm:cxn modelId="{3851ACDD-67CC-4DE0-A124-915E3C25F850}" type="presParOf" srcId="{759F5284-54EC-4954-84A3-16F04CC59818}" destId="{AD7E16B0-CCAC-46D8-982E-7D8346307C89}" srcOrd="1" destOrd="0" presId="urn:microsoft.com/office/officeart/2005/8/layout/process3"/>
    <dgm:cxn modelId="{7D92B9C6-4BB1-461D-B114-E655F85F085F}" type="presParOf" srcId="{AD7E16B0-CCAC-46D8-982E-7D8346307C89}" destId="{AC4B7B3A-D9C6-4368-A062-94F1D824D10D}" srcOrd="0" destOrd="0" presId="urn:microsoft.com/office/officeart/2005/8/layout/process3"/>
    <dgm:cxn modelId="{7C756B53-5BFB-4561-A1F2-8927FAAA0D26}" type="presParOf" srcId="{759F5284-54EC-4954-84A3-16F04CC59818}" destId="{1A277169-65A7-4233-9E7F-08484C0CCD5E}" srcOrd="2" destOrd="0" presId="urn:microsoft.com/office/officeart/2005/8/layout/process3"/>
    <dgm:cxn modelId="{3EFAEE0A-F937-4842-BFAC-23AA4FAFDF2A}" type="presParOf" srcId="{1A277169-65A7-4233-9E7F-08484C0CCD5E}" destId="{9357797F-63F0-44C5-AB16-7EB13B32FF8B}" srcOrd="0" destOrd="0" presId="urn:microsoft.com/office/officeart/2005/8/layout/process3"/>
    <dgm:cxn modelId="{71ACC926-0D12-4F52-8155-A7F0E9C6BD44}" type="presParOf" srcId="{1A277169-65A7-4233-9E7F-08484C0CCD5E}" destId="{48587DDA-AD17-4C82-BF18-963FAC8714F6}" srcOrd="1" destOrd="0" presId="urn:microsoft.com/office/officeart/2005/8/layout/process3"/>
    <dgm:cxn modelId="{38E3B21A-35EB-4A7C-BFB5-59E88D575196}" type="presParOf" srcId="{1A277169-65A7-4233-9E7F-08484C0CCD5E}" destId="{8E411428-CC71-49CC-8B2E-8E1CA0A7EC86}" srcOrd="2" destOrd="0" presId="urn:microsoft.com/office/officeart/2005/8/layout/process3"/>
    <dgm:cxn modelId="{62639001-5E93-43C3-911B-0DF1D8C88B67}" type="presParOf" srcId="{759F5284-54EC-4954-84A3-16F04CC59818}" destId="{0D8D2DE3-A581-41DA-8C0A-170541D1A2B8}" srcOrd="3" destOrd="0" presId="urn:microsoft.com/office/officeart/2005/8/layout/process3"/>
    <dgm:cxn modelId="{D1B501C8-756B-454E-B8F3-A9817AA8B990}" type="presParOf" srcId="{0D8D2DE3-A581-41DA-8C0A-170541D1A2B8}" destId="{9EDC0A7A-085A-4B0D-9780-4553F112E334}" srcOrd="0" destOrd="0" presId="urn:microsoft.com/office/officeart/2005/8/layout/process3"/>
    <dgm:cxn modelId="{14F5BF1B-B221-4897-AFBA-730839DD0B5A}" type="presParOf" srcId="{759F5284-54EC-4954-84A3-16F04CC59818}" destId="{EB12F012-73EA-49C6-998D-90EFF7E80EE2}" srcOrd="4" destOrd="0" presId="urn:microsoft.com/office/officeart/2005/8/layout/process3"/>
    <dgm:cxn modelId="{4BF62DDF-C285-40DD-B061-3BC42C9AE0A1}" type="presParOf" srcId="{EB12F012-73EA-49C6-998D-90EFF7E80EE2}" destId="{E0D6A470-34CC-405E-BEA4-9418985AAD47}" srcOrd="0" destOrd="0" presId="urn:microsoft.com/office/officeart/2005/8/layout/process3"/>
    <dgm:cxn modelId="{084BE785-4FBE-40F3-8CD4-DCDB89DAE9ED}" type="presParOf" srcId="{EB12F012-73EA-49C6-998D-90EFF7E80EE2}" destId="{7558646E-93B4-4E64-975A-EF414BB332B7}" srcOrd="1" destOrd="0" presId="urn:microsoft.com/office/officeart/2005/8/layout/process3"/>
    <dgm:cxn modelId="{588ED0EF-1DD5-4989-B2EC-B2C5D4CF8215}" type="presParOf" srcId="{EB12F012-73EA-49C6-998D-90EFF7E80EE2}" destId="{59861D40-A702-46BD-B718-E6D46F2CAD73}" srcOrd="2" destOrd="0" presId="urn:microsoft.com/office/officeart/2005/8/layout/process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46800" cy="1515110"/>
        <a:chOff x="0" y="0"/>
        <a:chExt cx="6146800" cy="1515110"/>
      </a:xfrm>
    </dsp:grpSpPr>
    <dsp:sp modelId="{3A80C888-361A-4793-8993-911BE7E59F7B}">
      <dsp:nvSpPr>
        <dsp:cNvPr id="3" name="Rounded Rectangle 2"/>
        <dsp:cNvSpPr/>
      </dsp:nvSpPr>
      <dsp:spPr bwMode="white">
        <a:xfrm>
          <a:off x="0" y="7222"/>
          <a:ext cx="1391437" cy="518400"/>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lIns="85344" tIns="85344" rIns="85344" bIns="45719"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nSpc>
              <a:spcPct val="100000"/>
            </a:lnSpc>
            <a:spcBef>
              <a:spcPct val="0"/>
            </a:spcBef>
            <a:spcAft>
              <a:spcPct val="35000"/>
            </a:spcAft>
          </a:pPr>
          <a:r>
            <a:rPr lang="en-US"/>
            <a:t>Advocacy</a:t>
          </a:r>
        </a:p>
      </dsp:txBody>
      <dsp:txXfrm>
        <a:off x="0" y="7222"/>
        <a:ext cx="1391437" cy="518400"/>
      </dsp:txXfrm>
    </dsp:sp>
    <dsp:sp modelId="{AC9AECE1-92E1-4D20-B32F-F22C118FEC38}">
      <dsp:nvSpPr>
        <dsp:cNvPr id="4" name="Rounded Rectangle 3"/>
        <dsp:cNvSpPr/>
      </dsp:nvSpPr>
      <dsp:spPr bwMode="white">
        <a:xfrm>
          <a:off x="277299" y="303905"/>
          <a:ext cx="1391437" cy="1155065"/>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en-US">
              <a:solidFill>
                <a:schemeClr val="dk1"/>
              </a:solidFill>
            </a:rPr>
            <a:t>Through our conueeling about +2</a:t>
          </a:r>
          <a:endParaRPr lang="en-US">
            <a:solidFill>
              <a:schemeClr val="dk1"/>
            </a:solidFill>
          </a:endParaRPr>
        </a:p>
        <a:p>
          <a:pPr lvl="1">
            <a:lnSpc>
              <a:spcPct val="100000"/>
            </a:lnSpc>
            <a:spcBef>
              <a:spcPct val="0"/>
            </a:spcBef>
            <a:spcAft>
              <a:spcPct val="15000"/>
            </a:spcAft>
            <a:buChar char="•"/>
          </a:pPr>
          <a:endParaRPr lang="en-US">
            <a:solidFill>
              <a:schemeClr val="dk1"/>
            </a:solidFill>
          </a:endParaRPr>
        </a:p>
      </dsp:txBody>
      <dsp:txXfrm>
        <a:off x="277299" y="303905"/>
        <a:ext cx="1391437" cy="1155065"/>
      </dsp:txXfrm>
    </dsp:sp>
    <dsp:sp modelId="{AD7E16B0-CCAC-46D8-982E-7D8346307C89}">
      <dsp:nvSpPr>
        <dsp:cNvPr id="5" name="Right Arrow 4"/>
        <dsp:cNvSpPr/>
      </dsp:nvSpPr>
      <dsp:spPr bwMode="white">
        <a:xfrm>
          <a:off x="1589718" y="6809"/>
          <a:ext cx="447186" cy="346428"/>
        </a:xfrm>
        <a:prstGeom prst="rightArrow">
          <a:avLst>
            <a:gd name="adj1" fmla="val 60000"/>
            <a:gd name="adj2" fmla="val 50000"/>
          </a:avLst>
        </a:prstGeom>
      </dsp:spPr>
      <dsp:style>
        <a:lnRef idx="0">
          <a:schemeClr val="accent1">
            <a:tint val="60000"/>
          </a:schemeClr>
        </a:lnRef>
        <a:fillRef idx="2">
          <a:schemeClr val="accent1">
            <a:tint val="60000"/>
          </a:schemeClr>
        </a:fillRef>
        <a:effectRef idx="1">
          <a:scrgbClr r="0" g="0" b="0"/>
        </a:effectRef>
        <a:fontRef idx="minor">
          <a:schemeClr val="dk1"/>
        </a:fontRef>
      </dsp:style>
      <dsp:txBody>
        <a:bodyPr lIns="0" tIns="0" rIns="0" bIns="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endParaRPr lang="en-US"/>
        </a:p>
      </dsp:txBody>
      <dsp:txXfrm>
        <a:off x="1589718" y="6809"/>
        <a:ext cx="447186" cy="346428"/>
      </dsp:txXfrm>
    </dsp:sp>
    <dsp:sp modelId="{48587DDA-AD17-4C82-BF18-963FAC8714F6}">
      <dsp:nvSpPr>
        <dsp:cNvPr id="6" name="Rounded Rectangle 5"/>
        <dsp:cNvSpPr/>
      </dsp:nvSpPr>
      <dsp:spPr bwMode="white">
        <a:xfrm>
          <a:off x="2235185" y="7222"/>
          <a:ext cx="1391437" cy="518400"/>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lIns="85344" tIns="85344" rIns="85344" bIns="45719"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nSpc>
              <a:spcPct val="100000"/>
            </a:lnSpc>
            <a:spcBef>
              <a:spcPct val="0"/>
            </a:spcBef>
            <a:spcAft>
              <a:spcPct val="35000"/>
            </a:spcAft>
          </a:pPr>
          <a:r>
            <a:rPr lang="en-US"/>
            <a:t>Problem-Solving</a:t>
          </a:r>
        </a:p>
      </dsp:txBody>
      <dsp:txXfrm>
        <a:off x="2235185" y="7222"/>
        <a:ext cx="1391437" cy="518400"/>
      </dsp:txXfrm>
    </dsp:sp>
    <dsp:sp modelId="{8E411428-CC71-49CC-8B2E-8E1CA0A7EC86}">
      <dsp:nvSpPr>
        <dsp:cNvPr id="7" name="Rounded Rectangle 6"/>
        <dsp:cNvSpPr/>
      </dsp:nvSpPr>
      <dsp:spPr bwMode="white">
        <a:xfrm>
          <a:off x="2520178" y="352823"/>
          <a:ext cx="1391437" cy="1155065"/>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en-US">
              <a:solidFill>
                <a:schemeClr val="dk1"/>
              </a:solidFill>
            </a:rPr>
            <a:t>Through the games we played with lessons hidden in them</a:t>
          </a:r>
          <a:endParaRPr>
            <a:solidFill>
              <a:schemeClr val="dk1"/>
            </a:solidFill>
          </a:endParaRPr>
        </a:p>
      </dsp:txBody>
      <dsp:txXfrm>
        <a:off x="2520178" y="352823"/>
        <a:ext cx="1391437" cy="1155065"/>
      </dsp:txXfrm>
    </dsp:sp>
    <dsp:sp modelId="{0D8D2DE3-A581-41DA-8C0A-170541D1A2B8}">
      <dsp:nvSpPr>
        <dsp:cNvPr id="8" name="Right Arrow 7"/>
        <dsp:cNvSpPr/>
      </dsp:nvSpPr>
      <dsp:spPr bwMode="white">
        <a:xfrm>
          <a:off x="3824903" y="6809"/>
          <a:ext cx="447186" cy="346428"/>
        </a:xfrm>
        <a:prstGeom prst="rightArrow">
          <a:avLst>
            <a:gd name="adj1" fmla="val 60000"/>
            <a:gd name="adj2" fmla="val 50000"/>
          </a:avLst>
        </a:prstGeom>
      </dsp:spPr>
      <dsp:style>
        <a:lnRef idx="0">
          <a:schemeClr val="accent1">
            <a:tint val="60000"/>
          </a:schemeClr>
        </a:lnRef>
        <a:fillRef idx="2">
          <a:schemeClr val="accent1">
            <a:tint val="60000"/>
          </a:schemeClr>
        </a:fillRef>
        <a:effectRef idx="1">
          <a:scrgbClr r="0" g="0" b="0"/>
        </a:effectRef>
        <a:fontRef idx="minor">
          <a:schemeClr val="dk1"/>
        </a:fontRef>
      </dsp:style>
      <dsp:txBody>
        <a:bodyPr lIns="0" tIns="0" rIns="0" bIns="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nSpc>
              <a:spcPct val="100000"/>
            </a:lnSpc>
            <a:spcBef>
              <a:spcPct val="0"/>
            </a:spcBef>
            <a:spcAft>
              <a:spcPct val="35000"/>
            </a:spcAft>
          </a:pPr>
          <a:endParaRPr lang="en-US"/>
        </a:p>
      </dsp:txBody>
      <dsp:txXfrm>
        <a:off x="3824903" y="6809"/>
        <a:ext cx="447186" cy="346428"/>
      </dsp:txXfrm>
    </dsp:sp>
    <dsp:sp modelId="{7558646E-93B4-4E64-975A-EF414BB332B7}">
      <dsp:nvSpPr>
        <dsp:cNvPr id="9" name="Rounded Rectangle 8"/>
        <dsp:cNvSpPr/>
      </dsp:nvSpPr>
      <dsp:spPr bwMode="white">
        <a:xfrm>
          <a:off x="4470370" y="7222"/>
          <a:ext cx="1391437" cy="518400"/>
        </a:xfrm>
        <a:prstGeom prst="roundRect">
          <a:avLst>
            <a:gd name="adj" fmla="val 10000"/>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lIns="85344" tIns="85344" rIns="85344" bIns="45719" anchor="t"/>
        <a:lstStyle>
          <a:lvl1pPr algn="l">
            <a:defRPr sz="1200"/>
          </a:lvl1pPr>
          <a:lvl2pPr marL="57150" indent="-57150" algn="l">
            <a:defRPr sz="900"/>
          </a:lvl2pPr>
          <a:lvl3pPr marL="114300" indent="-57150" algn="l">
            <a:defRPr sz="900"/>
          </a:lvl3pPr>
          <a:lvl4pPr marL="171450" indent="-57150" algn="l">
            <a:defRPr sz="900"/>
          </a:lvl4pPr>
          <a:lvl5pPr marL="228600" indent="-57150" algn="l">
            <a:defRPr sz="900"/>
          </a:lvl5pPr>
          <a:lvl6pPr marL="285750" indent="-57150" algn="l">
            <a:defRPr sz="900"/>
          </a:lvl6pPr>
          <a:lvl7pPr marL="342900" indent="-57150" algn="l">
            <a:defRPr sz="900"/>
          </a:lvl7pPr>
          <a:lvl8pPr marL="400050" indent="-57150" algn="l">
            <a:defRPr sz="900"/>
          </a:lvl8pPr>
          <a:lvl9pPr marL="457200" indent="-57150" algn="l">
            <a:defRPr sz="900"/>
          </a:lvl9pPr>
        </a:lstStyle>
        <a:p>
          <a:pPr lvl="0">
            <a:lnSpc>
              <a:spcPct val="100000"/>
            </a:lnSpc>
            <a:spcBef>
              <a:spcPct val="0"/>
            </a:spcBef>
            <a:spcAft>
              <a:spcPct val="35000"/>
            </a:spcAft>
          </a:pPr>
          <a:r>
            <a:rPr lang="en-US"/>
            <a:t>Transmisson</a:t>
          </a:r>
        </a:p>
      </dsp:txBody>
      <dsp:txXfrm>
        <a:off x="4470370" y="7222"/>
        <a:ext cx="1391437" cy="518400"/>
      </dsp:txXfrm>
    </dsp:sp>
    <dsp:sp modelId="{59861D40-A702-46BD-B718-E6D46F2CAD73}">
      <dsp:nvSpPr>
        <dsp:cNvPr id="10" name="Rounded Rectangle 9"/>
        <dsp:cNvSpPr/>
      </dsp:nvSpPr>
      <dsp:spPr bwMode="white">
        <a:xfrm>
          <a:off x="4755363" y="352823"/>
          <a:ext cx="1391437" cy="1155065"/>
        </a:xfrm>
        <a:prstGeom prst="roundRect">
          <a:avLst>
            <a:gd name="adj" fmla="val 10000"/>
          </a:avLst>
        </a:prstGeom>
      </dsp:spPr>
      <dsp:style>
        <a:lnRef idx="1">
          <a:schemeClr val="accent1"/>
        </a:lnRef>
        <a:fillRef idx="1">
          <a:schemeClr val="lt1">
            <a:alpha val="90000"/>
          </a:schemeClr>
        </a:fillRef>
        <a:effectRef idx="0">
          <a:scrgbClr r="0" g="0" b="0"/>
        </a:effectRef>
        <a:fontRef idx="minor"/>
      </dsp:style>
      <dsp:txBody>
        <a:bodyPr lIns="85344" tIns="85344" rIns="85344" bIns="85344" anchor="t"/>
        <a:lstStyle>
          <a:lvl1pPr algn="l">
            <a:defRPr sz="1200"/>
          </a:lvl1pPr>
          <a:lvl2pPr marL="114300" indent="-114300" algn="l">
            <a:defRPr sz="1200"/>
          </a:lvl2pPr>
          <a:lvl3pPr marL="228600" indent="-114300" algn="l">
            <a:defRPr sz="1200"/>
          </a:lvl3pPr>
          <a:lvl4pPr marL="342900" indent="-114300" algn="l">
            <a:defRPr sz="1200"/>
          </a:lvl4pPr>
          <a:lvl5pPr marL="457200" indent="-114300" algn="l">
            <a:defRPr sz="1200"/>
          </a:lvl5pPr>
          <a:lvl6pPr marL="571500" indent="-114300" algn="l">
            <a:defRPr sz="1200"/>
          </a:lvl6pPr>
          <a:lvl7pPr marL="685800" indent="-114300" algn="l">
            <a:defRPr sz="1200"/>
          </a:lvl7pPr>
          <a:lvl8pPr marL="800100" indent="-114300" algn="l">
            <a:defRPr sz="1200"/>
          </a:lvl8pPr>
          <a:lvl9pPr marL="914400" indent="-114300" algn="l">
            <a:defRPr sz="1200"/>
          </a:lvl9pPr>
        </a:lstStyle>
        <a:p>
          <a:pPr lvl="1">
            <a:lnSpc>
              <a:spcPct val="100000"/>
            </a:lnSpc>
            <a:spcBef>
              <a:spcPct val="0"/>
            </a:spcBef>
            <a:spcAft>
              <a:spcPct val="15000"/>
            </a:spcAft>
            <a:buChar char="•"/>
          </a:pPr>
          <a:r>
            <a:rPr lang="en-US">
              <a:solidFill>
                <a:schemeClr val="dk1"/>
              </a:solidFill>
            </a:rPr>
            <a:t>Through Distribution of the current project.</a:t>
          </a:r>
          <a:endParaRPr>
            <a:solidFill>
              <a:schemeClr val="dk1"/>
            </a:solidFill>
          </a:endParaRPr>
        </a:p>
      </dsp:txBody>
      <dsp:txXfrm>
        <a:off x="4755363" y="352823"/>
        <a:ext cx="1391437" cy="115506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1950</Words>
  <Characters>11119</Characters>
  <Lines>92</Lines>
  <Paragraphs>26</Paragraphs>
  <TotalTime>40</TotalTime>
  <ScaleCrop>false</ScaleCrop>
  <LinksUpToDate>false</LinksUpToDate>
  <CharactersWithSpaces>13043</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2024-06-22T08:32:00Z</dcterms:created>
  <dc:creator>Microsoft account</dc:creator>
  <cp:lastModifiedBy>Anupam Nyaupane</cp:lastModifiedBy>
  <dcterms:modified xsi:type="dcterms:W3CDTF">2024-08-05T09:20:02Z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a7b00bf4-e095-4bbe-8ff3-aa357fee4c95</vt:lpwstr>
  </property>
  <property fmtid="{D5CDD505-2E9C-101B-9397-08002B2CF9AE}" pid="3" name="KSOProductBuildVer">
    <vt:lpwstr>1033-12.2.0.17153</vt:lpwstr>
  </property>
  <property fmtid="{D5CDD505-2E9C-101B-9397-08002B2CF9AE}" pid="4" name="ICV">
    <vt:lpwstr>CBE1E80296D742CEB067EDD75F1AC1C0_12</vt:lpwstr>
  </property>
</Properties>
</file>