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9990"/>
        </w:tabs>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Salvador Carrasco</w:t>
      </w:r>
    </w:p>
    <w:p w:rsidR="00000000" w:rsidDel="00000000" w:rsidP="00000000" w:rsidRDefault="00000000" w:rsidRPr="00000000" w14:paraId="00000002">
      <w:pPr>
        <w:tabs>
          <w:tab w:val="right" w:leader="none" w:pos="9990"/>
        </w:tabs>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(609) 289-5824 | scarras91@gmail.com | </w:t>
      </w:r>
      <w:hyperlink r:id="rId6">
        <w:r w:rsidDel="00000000" w:rsidR="00000000" w:rsidRPr="00000000">
          <w:rPr>
            <w:rFonts w:ascii="Calibri" w:cs="Calibri" w:eastAsia="Calibri" w:hAnsi="Calibri"/>
            <w:color w:val="1155cc"/>
            <w:sz w:val="20"/>
            <w:szCs w:val="20"/>
            <w:u w:val="single"/>
            <w:rtl w:val="0"/>
          </w:rPr>
          <w:t xml:space="preserve">linkedin.com/in/sal-carrasco</w:t>
        </w:r>
      </w:hyperlink>
      <w:r w:rsidDel="00000000" w:rsidR="00000000" w:rsidRPr="00000000">
        <w:rPr>
          <w:rFonts w:ascii="Calibri" w:cs="Calibri" w:eastAsia="Calibri" w:hAnsi="Calibri"/>
          <w:sz w:val="20"/>
          <w:szCs w:val="20"/>
          <w:rtl w:val="0"/>
        </w:rPr>
        <w:t xml:space="preserve"> | Haddon Twp., NJ 08108</w:t>
      </w:r>
    </w:p>
    <w:p w:rsidR="00000000" w:rsidDel="00000000" w:rsidP="00000000" w:rsidRDefault="00000000" w:rsidRPr="00000000" w14:paraId="00000003">
      <w:pPr>
        <w:tabs>
          <w:tab w:val="right" w:leader="none" w:pos="999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04">
      <w:pPr>
        <w:tabs>
          <w:tab w:val="right" w:leader="none" w:pos="9990"/>
        </w:tabs>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Senior Product Manager</w:t>
      </w:r>
    </w:p>
    <w:p w:rsidR="00000000" w:rsidDel="00000000" w:rsidP="00000000" w:rsidRDefault="00000000" w:rsidRPr="00000000" w14:paraId="00000005">
      <w:pPr>
        <w:tabs>
          <w:tab w:val="right" w:leader="none" w:pos="9990"/>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Pragmatic, infrastructure-focused Product Manager with a track record of building and scaling cloud platforms that balance technical depth with business impact. Experienced in leading cross-functional teams to deliver resilient, high-performance infrastructure and control plane capabilities that unlock customer adoption and growth. Skilled at translating complex technical challenges into clear roadmaps, leveraging data-driven insights to prioritize what matters most. Known for driving platform innovation in hybrid and multi-cloud environments, while fostering strong collaboration across engineering, design, and go-to-market teams. Passionate about making data platforms smarter, more reliable, and easier for customers to use.</w:t>
      </w:r>
      <w:r w:rsidDel="00000000" w:rsidR="00000000" w:rsidRPr="00000000">
        <w:rPr>
          <w:rtl w:val="0"/>
        </w:rPr>
      </w:r>
    </w:p>
    <w:p w:rsidR="00000000" w:rsidDel="00000000" w:rsidP="00000000" w:rsidRDefault="00000000" w:rsidRPr="00000000" w14:paraId="00000006">
      <w:pPr>
        <w:tabs>
          <w:tab w:val="right" w:leader="none" w:pos="999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07">
      <w:pPr>
        <w:numPr>
          <w:ilvl w:val="0"/>
          <w:numId w:val="1"/>
        </w:numPr>
        <w:tabs>
          <w:tab w:val="right" w:leader="none" w:pos="9990"/>
        </w:tabs>
        <w:spacing w:line="240" w:lineRule="auto"/>
        <w:ind w:left="720" w:hanging="360"/>
        <w:rPr>
          <w:rFonts w:ascii="Noto Sans Symbols" w:cs="Noto Sans Symbols" w:eastAsia="Noto Sans Symbols" w:hAnsi="Noto Sans Symbols"/>
          <w:sz w:val="20"/>
          <w:szCs w:val="20"/>
        </w:rPr>
      </w:pPr>
      <w:r w:rsidDel="00000000" w:rsidR="00000000" w:rsidRPr="00000000">
        <w:rPr>
          <w:rFonts w:ascii="Calibri" w:cs="Calibri" w:eastAsia="Calibri" w:hAnsi="Calibri"/>
          <w:b w:val="1"/>
          <w:sz w:val="20"/>
          <w:szCs w:val="20"/>
          <w:rtl w:val="0"/>
        </w:rPr>
        <w:t xml:space="preserve">Product Management: </w:t>
      </w:r>
      <w:r w:rsidDel="00000000" w:rsidR="00000000" w:rsidRPr="00000000">
        <w:rPr>
          <w:rFonts w:ascii="Calibri" w:cs="Calibri" w:eastAsia="Calibri" w:hAnsi="Calibri"/>
          <w:sz w:val="20"/>
          <w:szCs w:val="20"/>
          <w:rtl w:val="0"/>
        </w:rPr>
        <w:t xml:space="preserve">Roadmapping &amp; execution | Agile (Scrum, Kanban) | Software Development Life Cycle (SDLC) Management | Compute infrastructure planning | workload migrations | capacity scaling</w:t>
      </w:r>
    </w:p>
    <w:p w:rsidR="00000000" w:rsidDel="00000000" w:rsidP="00000000" w:rsidRDefault="00000000" w:rsidRPr="00000000" w14:paraId="00000008">
      <w:pPr>
        <w:numPr>
          <w:ilvl w:val="0"/>
          <w:numId w:val="1"/>
        </w:numPr>
        <w:tabs>
          <w:tab w:val="right" w:leader="none" w:pos="9990"/>
        </w:tabs>
        <w:spacing w:line="240" w:lineRule="auto"/>
        <w:ind w:left="720" w:hanging="360"/>
        <w:rPr>
          <w:rFonts w:ascii="Noto Sans Symbols" w:cs="Noto Sans Symbols" w:eastAsia="Noto Sans Symbols" w:hAnsi="Noto Sans Symbols"/>
          <w:sz w:val="20"/>
          <w:szCs w:val="20"/>
        </w:rPr>
      </w:pPr>
      <w:r w:rsidDel="00000000" w:rsidR="00000000" w:rsidRPr="00000000">
        <w:rPr>
          <w:rFonts w:ascii="Calibri" w:cs="Calibri" w:eastAsia="Calibri" w:hAnsi="Calibri"/>
          <w:b w:val="1"/>
          <w:sz w:val="20"/>
          <w:szCs w:val="20"/>
          <w:rtl w:val="0"/>
        </w:rPr>
        <w:t xml:space="preserve">Computer &amp; Storage: </w:t>
      </w:r>
      <w:r w:rsidDel="00000000" w:rsidR="00000000" w:rsidRPr="00000000">
        <w:rPr>
          <w:rFonts w:ascii="Calibri" w:cs="Calibri" w:eastAsia="Calibri" w:hAnsi="Calibri"/>
          <w:sz w:val="20"/>
          <w:szCs w:val="20"/>
          <w:rtl w:val="0"/>
        </w:rPr>
        <w:t xml:space="preserve">Linux/Unix | Ceph | QEMU | HPC | NVMe | block &amp; object storage | Nvidia GPU | HA &amp; DR architecture | distributed systems | performance tuning</w:t>
      </w:r>
    </w:p>
    <w:p w:rsidR="00000000" w:rsidDel="00000000" w:rsidP="00000000" w:rsidRDefault="00000000" w:rsidRPr="00000000" w14:paraId="00000009">
      <w:pPr>
        <w:numPr>
          <w:ilvl w:val="0"/>
          <w:numId w:val="1"/>
        </w:numPr>
        <w:tabs>
          <w:tab w:val="right" w:leader="none" w:pos="9990"/>
        </w:tabs>
        <w:spacing w:line="240" w:lineRule="auto"/>
        <w:ind w:left="720" w:hanging="360"/>
        <w:rPr>
          <w:rFonts w:ascii="Noto Sans Symbols" w:cs="Noto Sans Symbols" w:eastAsia="Noto Sans Symbols" w:hAnsi="Noto Sans Symbols"/>
          <w:sz w:val="20"/>
          <w:szCs w:val="20"/>
        </w:rPr>
      </w:pPr>
      <w:r w:rsidDel="00000000" w:rsidR="00000000" w:rsidRPr="00000000">
        <w:rPr>
          <w:rFonts w:ascii="Calibri" w:cs="Calibri" w:eastAsia="Calibri" w:hAnsi="Calibri"/>
          <w:b w:val="1"/>
          <w:sz w:val="20"/>
          <w:szCs w:val="20"/>
          <w:rtl w:val="0"/>
        </w:rPr>
        <w:t xml:space="preserve">Networking: </w:t>
      </w:r>
      <w:r w:rsidDel="00000000" w:rsidR="00000000" w:rsidRPr="00000000">
        <w:rPr>
          <w:rFonts w:ascii="Calibri" w:cs="Calibri" w:eastAsia="Calibri" w:hAnsi="Calibri"/>
          <w:sz w:val="20"/>
          <w:szCs w:val="20"/>
          <w:rtl w:val="0"/>
        </w:rPr>
        <w:t xml:space="preserve">TCP/IP | BGP | VLAN | spine-leaf design | routing | traffic analysis</w:t>
      </w:r>
    </w:p>
    <w:p w:rsidR="00000000" w:rsidDel="00000000" w:rsidP="00000000" w:rsidRDefault="00000000" w:rsidRPr="00000000" w14:paraId="0000000A">
      <w:pPr>
        <w:numPr>
          <w:ilvl w:val="0"/>
          <w:numId w:val="1"/>
        </w:numPr>
        <w:tabs>
          <w:tab w:val="right" w:leader="none" w:pos="9990"/>
        </w:tabs>
        <w:spacing w:line="240" w:lineRule="auto"/>
        <w:ind w:left="720" w:hanging="360"/>
        <w:rPr>
          <w:rFonts w:ascii="Noto Sans Symbols" w:cs="Noto Sans Symbols" w:eastAsia="Noto Sans Symbols" w:hAnsi="Noto Sans Symbols"/>
          <w:sz w:val="20"/>
          <w:szCs w:val="20"/>
        </w:rPr>
      </w:pPr>
      <w:r w:rsidDel="00000000" w:rsidR="00000000" w:rsidRPr="00000000">
        <w:rPr>
          <w:rFonts w:ascii="Calibri" w:cs="Calibri" w:eastAsia="Calibri" w:hAnsi="Calibri"/>
          <w:b w:val="1"/>
          <w:sz w:val="20"/>
          <w:szCs w:val="20"/>
          <w:rtl w:val="0"/>
        </w:rPr>
        <w:t xml:space="preserve">Security: </w:t>
      </w:r>
      <w:r w:rsidDel="00000000" w:rsidR="00000000" w:rsidRPr="00000000">
        <w:rPr>
          <w:rFonts w:ascii="Calibri" w:cs="Calibri" w:eastAsia="Calibri" w:hAnsi="Calibri"/>
          <w:sz w:val="20"/>
          <w:szCs w:val="20"/>
          <w:rtl w:val="0"/>
        </w:rPr>
        <w:t xml:space="preserve">Identity &amp; access management | secret rotation | network segmentation | systems hardening | vulnerability remediation</w:t>
      </w:r>
    </w:p>
    <w:p w:rsidR="00000000" w:rsidDel="00000000" w:rsidP="00000000" w:rsidRDefault="00000000" w:rsidRPr="00000000" w14:paraId="0000000B">
      <w:pPr>
        <w:numPr>
          <w:ilvl w:val="0"/>
          <w:numId w:val="1"/>
        </w:numPr>
        <w:tabs>
          <w:tab w:val="right" w:leader="none" w:pos="9990"/>
        </w:tabs>
        <w:spacing w:line="240" w:lineRule="auto"/>
        <w:ind w:left="720" w:hanging="360"/>
        <w:rPr>
          <w:rFonts w:ascii="Noto Sans Symbols" w:cs="Noto Sans Symbols" w:eastAsia="Noto Sans Symbols" w:hAnsi="Noto Sans Symbols"/>
          <w:sz w:val="20"/>
          <w:szCs w:val="20"/>
        </w:rPr>
      </w:pPr>
      <w:r w:rsidDel="00000000" w:rsidR="00000000" w:rsidRPr="00000000">
        <w:rPr>
          <w:rFonts w:ascii="Calibri" w:cs="Calibri" w:eastAsia="Calibri" w:hAnsi="Calibri"/>
          <w:b w:val="1"/>
          <w:sz w:val="20"/>
          <w:szCs w:val="20"/>
          <w:rtl w:val="0"/>
        </w:rPr>
        <w:t xml:space="preserve">Automation &amp; Tooling: </w:t>
      </w:r>
      <w:r w:rsidDel="00000000" w:rsidR="00000000" w:rsidRPr="00000000">
        <w:rPr>
          <w:rFonts w:ascii="Calibri" w:cs="Calibri" w:eastAsia="Calibri" w:hAnsi="Calibri"/>
          <w:sz w:val="20"/>
          <w:szCs w:val="20"/>
          <w:rtl w:val="0"/>
        </w:rPr>
        <w:t xml:space="preserve">Python | Java | Bash | Ansible | SaltStack | Terraform | CI/CD | monitoring (Grafana, Prometheus) | eBPF | AI / LLM</w:t>
      </w:r>
    </w:p>
    <w:p w:rsidR="00000000" w:rsidDel="00000000" w:rsidP="00000000" w:rsidRDefault="00000000" w:rsidRPr="00000000" w14:paraId="0000000C">
      <w:pPr>
        <w:numPr>
          <w:ilvl w:val="0"/>
          <w:numId w:val="1"/>
        </w:numPr>
        <w:tabs>
          <w:tab w:val="right" w:leader="none" w:pos="9990"/>
        </w:tabs>
        <w:spacing w:line="240" w:lineRule="auto"/>
        <w:ind w:left="720" w:hanging="360"/>
        <w:rPr>
          <w:rFonts w:ascii="Noto Sans Symbols" w:cs="Noto Sans Symbols" w:eastAsia="Noto Sans Symbols" w:hAnsi="Noto Sans Symbols"/>
          <w:b w:val="1"/>
          <w:sz w:val="20"/>
          <w:szCs w:val="20"/>
        </w:rPr>
      </w:pPr>
      <w:r w:rsidDel="00000000" w:rsidR="00000000" w:rsidRPr="00000000">
        <w:rPr>
          <w:rFonts w:ascii="Calibri" w:cs="Calibri" w:eastAsia="Calibri" w:hAnsi="Calibri"/>
          <w:b w:val="1"/>
          <w:sz w:val="20"/>
          <w:szCs w:val="20"/>
          <w:rtl w:val="0"/>
        </w:rPr>
        <w:t xml:space="preserve">Databases &amp; Data Lakes: </w:t>
      </w:r>
      <w:r w:rsidDel="00000000" w:rsidR="00000000" w:rsidRPr="00000000">
        <w:rPr>
          <w:rFonts w:ascii="Calibri" w:cs="Calibri" w:eastAsia="Calibri" w:hAnsi="Calibri"/>
          <w:sz w:val="20"/>
          <w:szCs w:val="20"/>
          <w:rtl w:val="0"/>
        </w:rPr>
        <w:t xml:space="preserve">MySQL | PostgreSQL | Redis | replication | backup/recovery | Snowflake | Hadoop</w:t>
      </w:r>
      <w:r w:rsidDel="00000000" w:rsidR="00000000" w:rsidRPr="00000000">
        <w:rPr>
          <w:rtl w:val="0"/>
        </w:rPr>
      </w:r>
    </w:p>
    <w:p w:rsidR="00000000" w:rsidDel="00000000" w:rsidP="00000000" w:rsidRDefault="00000000" w:rsidRPr="00000000" w14:paraId="0000000D">
      <w:pPr>
        <w:numPr>
          <w:ilvl w:val="0"/>
          <w:numId w:val="1"/>
        </w:numPr>
        <w:tabs>
          <w:tab w:val="right" w:leader="none" w:pos="9990"/>
        </w:tabs>
        <w:spacing w:line="240" w:lineRule="auto"/>
        <w:ind w:left="720" w:hanging="360"/>
        <w:rPr>
          <w:rFonts w:ascii="Noto Sans Symbols" w:cs="Noto Sans Symbols" w:eastAsia="Noto Sans Symbols" w:hAnsi="Noto Sans Symbols"/>
          <w:sz w:val="20"/>
          <w:szCs w:val="20"/>
        </w:rPr>
      </w:pPr>
      <w:r w:rsidDel="00000000" w:rsidR="00000000" w:rsidRPr="00000000">
        <w:rPr>
          <w:rFonts w:ascii="Calibri" w:cs="Calibri" w:eastAsia="Calibri" w:hAnsi="Calibri"/>
          <w:b w:val="1"/>
          <w:sz w:val="20"/>
          <w:szCs w:val="20"/>
          <w:rtl w:val="0"/>
        </w:rPr>
        <w:t xml:space="preserve">Cloud Platforms: </w:t>
      </w:r>
      <w:r w:rsidDel="00000000" w:rsidR="00000000" w:rsidRPr="00000000">
        <w:rPr>
          <w:rFonts w:ascii="Calibri" w:cs="Calibri" w:eastAsia="Calibri" w:hAnsi="Calibri"/>
          <w:sz w:val="20"/>
          <w:szCs w:val="20"/>
          <w:rtl w:val="0"/>
        </w:rPr>
        <w:t xml:space="preserve">GCP | Azure | Akamai Cloud/Linode | Kubernetes | virtualization (KVM, VMware)</w:t>
      </w:r>
    </w:p>
    <w:p w:rsidR="00000000" w:rsidDel="00000000" w:rsidP="00000000" w:rsidRDefault="00000000" w:rsidRPr="00000000" w14:paraId="0000000E">
      <w:pPr>
        <w:numPr>
          <w:ilvl w:val="0"/>
          <w:numId w:val="1"/>
        </w:numPr>
        <w:tabs>
          <w:tab w:val="right" w:leader="none" w:pos="9990"/>
        </w:tabs>
        <w:spacing w:line="240" w:lineRule="auto"/>
        <w:ind w:left="720" w:hanging="360"/>
        <w:rPr>
          <w:rFonts w:ascii="Noto Sans Symbols" w:cs="Noto Sans Symbols" w:eastAsia="Noto Sans Symbols" w:hAnsi="Noto Sans Symbols"/>
          <w:sz w:val="20"/>
          <w:szCs w:val="20"/>
        </w:rPr>
      </w:pPr>
      <w:r w:rsidDel="00000000" w:rsidR="00000000" w:rsidRPr="00000000">
        <w:rPr>
          <w:rFonts w:ascii="Calibri" w:cs="Calibri" w:eastAsia="Calibri" w:hAnsi="Calibri"/>
          <w:b w:val="1"/>
          <w:sz w:val="20"/>
          <w:szCs w:val="20"/>
          <w:rtl w:val="0"/>
        </w:rPr>
        <w:t xml:space="preserve">Leadership &amp; Operations: </w:t>
      </w:r>
      <w:r w:rsidDel="00000000" w:rsidR="00000000" w:rsidRPr="00000000">
        <w:rPr>
          <w:rFonts w:ascii="Calibri" w:cs="Calibri" w:eastAsia="Calibri" w:hAnsi="Calibri"/>
          <w:sz w:val="20"/>
          <w:szCs w:val="20"/>
          <w:rtl w:val="0"/>
        </w:rPr>
        <w:t xml:space="preserve">KPI</w:t>
      </w:r>
      <w:r w:rsidDel="00000000" w:rsidR="00000000" w:rsidRPr="00000000">
        <w:rPr>
          <w:rFonts w:ascii="Calibri" w:cs="Calibri" w:eastAsia="Calibri" w:hAnsi="Calibri"/>
          <w:sz w:val="20"/>
          <w:szCs w:val="20"/>
          <w:rtl w:val="0"/>
        </w:rPr>
        <w:t xml:space="preserve">/OKR definition | talent development | vendor mgmt | 24×7 operations | cross-functional alignment</w:t>
      </w:r>
    </w:p>
    <w:p w:rsidR="00000000" w:rsidDel="00000000" w:rsidP="00000000" w:rsidRDefault="00000000" w:rsidRPr="00000000" w14:paraId="0000000F">
      <w:pPr>
        <w:tabs>
          <w:tab w:val="right" w:leader="none" w:pos="999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0">
      <w:pPr>
        <w:tabs>
          <w:tab w:val="right" w:leader="none" w:pos="9990"/>
        </w:tabs>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Work Experience</w:t>
      </w:r>
    </w:p>
    <w:p w:rsidR="00000000" w:rsidDel="00000000" w:rsidP="00000000" w:rsidRDefault="00000000" w:rsidRPr="00000000" w14:paraId="00000011">
      <w:pPr>
        <w:tabs>
          <w:tab w:val="right" w:leader="none" w:pos="9990"/>
        </w:tabs>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Equinix</w:t>
        <w:tab/>
        <w:t xml:space="preserve">July 2022 - August 2025</w:t>
      </w:r>
    </w:p>
    <w:p w:rsidR="00000000" w:rsidDel="00000000" w:rsidP="00000000" w:rsidRDefault="00000000" w:rsidRPr="00000000" w14:paraId="00000012">
      <w:pPr>
        <w:tabs>
          <w:tab w:val="right" w:leader="none" w:pos="9990"/>
        </w:tabs>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Senior Product Manager</w:t>
      </w:r>
    </w:p>
    <w:p w:rsidR="00000000" w:rsidDel="00000000" w:rsidP="00000000" w:rsidRDefault="00000000" w:rsidRPr="00000000" w14:paraId="00000013">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Identified a company-wide opportunity for an observability platform through direct customer conversations and competitive analysis; validated the business case, secured C-level sponsorship, and obtained budget to establish the effort as a strategic initiative.</w:t>
      </w:r>
    </w:p>
    <w:p w:rsidR="00000000" w:rsidDel="00000000" w:rsidP="00000000" w:rsidRDefault="00000000" w:rsidRPr="00000000" w14:paraId="00000014">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Drove cross-functional delivery of an enterprise-wide observability platform, integrating with customer tooling (Splunk, Datadog, etc.) to provide near real-time log and metric data. Enabled enterprise customer adoption by meeting compliance and security requirements, while also accelerating troubleshooting and reducing downtime. Addressed a major customer pain point of limited visibility by allowing customers to monitor and self-service their environments, which reduced support burden and created a new revenue stream as a value-added service.</w:t>
      </w:r>
    </w:p>
    <w:p w:rsidR="00000000" w:rsidDel="00000000" w:rsidP="00000000" w:rsidRDefault="00000000" w:rsidRPr="00000000" w14:paraId="00000015">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Led identity and access management (IAM) strategy across Equinix Services, delivering roadmap milestones for Single Sign-On (SSO) &amp; identity federation, enabling enterprise access and unlocking $10M+ in previously blocked annual revenue by removing critical adoption barriers. (SSO).</w:t>
      </w:r>
    </w:p>
    <w:p w:rsidR="00000000" w:rsidDel="00000000" w:rsidP="00000000" w:rsidRDefault="00000000" w:rsidRPr="00000000" w14:paraId="00000016">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Delivered core compute and provisioning services (BYO OS, server health status, firmware &amp; BIOS management) with high operational reliability. Defined telemetry and access controls to ensure auditability and data integrity.</w:t>
      </w:r>
    </w:p>
    <w:p w:rsidR="00000000" w:rsidDel="00000000" w:rsidP="00000000" w:rsidRDefault="00000000" w:rsidRPr="00000000" w14:paraId="00000017">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Worked closely with early enterprise design partners to drive feedback loops for Observability and IAM features, validating requirements before launch. Positive feedback ensured all features progressed to GA, resulting in accelerated rollout of Observability Data Streaming, SSO, and SCIM capabilities and stronger enterprise adoption at launch.</w:t>
      </w:r>
    </w:p>
    <w:p w:rsidR="00000000" w:rsidDel="00000000" w:rsidP="00000000" w:rsidRDefault="00000000" w:rsidRPr="00000000" w14:paraId="00000018">
      <w:pPr>
        <w:tabs>
          <w:tab w:val="right" w:leader="none" w:pos="999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9">
      <w:pPr>
        <w:tabs>
          <w:tab w:val="right" w:leader="none" w:pos="9990"/>
        </w:tabs>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Akamai Technologies (via Linode acquisition)</w:t>
        <w:tab/>
        <w:t xml:space="preserve">April 2019 - July 2022</w:t>
      </w:r>
    </w:p>
    <w:p w:rsidR="00000000" w:rsidDel="00000000" w:rsidP="00000000" w:rsidRDefault="00000000" w:rsidRPr="00000000" w14:paraId="0000001A">
      <w:pPr>
        <w:tabs>
          <w:tab w:val="right" w:leader="none" w:pos="9990"/>
        </w:tabs>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Systems &amp; Site Reliability Engineering Manager</w:t>
      </w:r>
    </w:p>
    <w:p w:rsidR="00000000" w:rsidDel="00000000" w:rsidP="00000000" w:rsidRDefault="00000000" w:rsidRPr="00000000" w14:paraId="0000001B">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Led a 30-person global Compute, Network, Storage, and Database (DBA) organization responsible for designing, deploying, monitoring, and optimizing Linode’s global cloud platform.</w:t>
      </w:r>
    </w:p>
    <w:p w:rsidR="00000000" w:rsidDel="00000000" w:rsidP="00000000" w:rsidRDefault="00000000" w:rsidRPr="00000000" w14:paraId="0000001C">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Owned end-to-end delivery and maintenance of enterprise analytics platforms (Tableau, Snowflake) used daily by business leadership, finance, and analytics teams to drive strategic and operational decisions.</w:t>
      </w:r>
    </w:p>
    <w:p w:rsidR="00000000" w:rsidDel="00000000" w:rsidP="00000000" w:rsidRDefault="00000000" w:rsidRPr="00000000" w14:paraId="0000001D">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Delivered infrastructure engineering, network engineering, database engineering, and security engineering initiatives, including OS upgrades, data migrations, DR strategy, secret rotation, and capacity expansions.</w:t>
      </w:r>
    </w:p>
    <w:p w:rsidR="00000000" w:rsidDel="00000000" w:rsidP="00000000" w:rsidRDefault="00000000" w:rsidRPr="00000000" w14:paraId="0000001E">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Executed major network transformation from Layer-2 to Layer-3 spine-leaf architecture, improving scalability, failover, and security posture across data centers.</w:t>
      </w:r>
    </w:p>
    <w:p w:rsidR="00000000" w:rsidDel="00000000" w:rsidP="00000000" w:rsidRDefault="00000000" w:rsidRPr="00000000" w14:paraId="0000001F">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Guided NVMe-based storage cluster rollout, improving IOPS and throughput by &gt;1000% vs legacy HDD/SSD Ceph systems. Ranked #1 performance vs AWS/Azure/GCP in Cloud Spectator benchmark (TFiR)</w:t>
      </w:r>
    </w:p>
    <w:p w:rsidR="00000000" w:rsidDel="00000000" w:rsidP="00000000" w:rsidRDefault="00000000" w:rsidRPr="00000000" w14:paraId="00000020">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Led the creation of Linode’s Dedicated CPU and GPU(Nvidia) products, identifying customer demand for ML, AI, and high-performance workloads, and building the business case to prioritize these offerings.</w:t>
      </w:r>
    </w:p>
    <w:p w:rsidR="00000000" w:rsidDel="00000000" w:rsidP="00000000" w:rsidRDefault="00000000" w:rsidRPr="00000000" w14:paraId="00000021">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Managed MySQL, PostgreSQL, and Redis clusters including replication, backup/recovery, and performance tuning. Led DB team and OS patch/upgrades to minimize customer impact.</w:t>
      </w:r>
    </w:p>
    <w:p w:rsidR="00000000" w:rsidDel="00000000" w:rsidP="00000000" w:rsidRDefault="00000000" w:rsidRPr="00000000" w14:paraId="00000022">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Led automation efforts using Bash, Python, Ansible, and SaltStack to deploy and remediate systems.</w:t>
      </w:r>
    </w:p>
    <w:p w:rsidR="00000000" w:rsidDel="00000000" w:rsidP="00000000" w:rsidRDefault="00000000" w:rsidRPr="00000000" w14:paraId="00000023">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Delivered high-availability and disaster recovery ready infrastructure across global regions and maintained &gt;99.99% uptime while driving incident response and change management processes. Implemented KPIs and SLOs to create accountability and visibility across teams.</w:t>
      </w:r>
    </w:p>
    <w:p w:rsidR="00000000" w:rsidDel="00000000" w:rsidP="00000000" w:rsidRDefault="00000000" w:rsidRPr="00000000" w14:paraId="00000024">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Led recruitment and team growth, attracting, onboarding, and mentoring top engineering talent while fostering a collaborative and high-performing engineering organization.</w:t>
      </w:r>
    </w:p>
    <w:p w:rsidR="00000000" w:rsidDel="00000000" w:rsidP="00000000" w:rsidRDefault="00000000" w:rsidRPr="00000000" w14:paraId="00000025">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Partnered cross-functionally with product, customer success, and finance to ensure infrastructure investments aligned to customer needs and business priorities.</w:t>
      </w:r>
    </w:p>
    <w:p w:rsidR="00000000" w:rsidDel="00000000" w:rsidP="00000000" w:rsidRDefault="00000000" w:rsidRPr="00000000" w14:paraId="00000026">
      <w:pPr>
        <w:tabs>
          <w:tab w:val="right" w:leader="none" w:pos="9990"/>
        </w:tabs>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tabs>
          <w:tab w:val="right" w:leader="none" w:pos="9990"/>
        </w:tabs>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Linode</w:t>
        <w:tab/>
        <w:t xml:space="preserve">September 2014 - April 2019</w:t>
      </w:r>
    </w:p>
    <w:p w:rsidR="00000000" w:rsidDel="00000000" w:rsidP="00000000" w:rsidRDefault="00000000" w:rsidRPr="00000000" w14:paraId="00000028">
      <w:pPr>
        <w:tabs>
          <w:tab w:val="right" w:leader="none" w:pos="9990"/>
        </w:tabs>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Manager | Systems Engineer | Technical Support Manager</w:t>
      </w:r>
    </w:p>
    <w:p w:rsidR="00000000" w:rsidDel="00000000" w:rsidP="00000000" w:rsidRDefault="00000000" w:rsidRPr="00000000" w14:paraId="00000029">
      <w:pPr>
        <w:tabs>
          <w:tab w:val="right" w:leader="none" w:pos="9990"/>
        </w:tabs>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(earlier experience consolidated for brevity)</w:t>
      </w:r>
    </w:p>
    <w:p w:rsidR="00000000" w:rsidDel="00000000" w:rsidP="00000000" w:rsidRDefault="00000000" w:rsidRPr="00000000" w14:paraId="0000002A">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Oversaw complex technical projects from planning through delivery, coordinating cross-functional teams to ensure infrastructure, software, and business initiatives were executed on time, within scope, and to quality standards.</w:t>
      </w:r>
    </w:p>
    <w:p w:rsidR="00000000" w:rsidDel="00000000" w:rsidP="00000000" w:rsidRDefault="00000000" w:rsidRPr="00000000" w14:paraId="0000002B">
      <w:pPr>
        <w:numPr>
          <w:ilvl w:val="0"/>
          <w:numId w:val="1"/>
        </w:numPr>
        <w:tabs>
          <w:tab w:val="right" w:leader="none" w:pos="9990"/>
        </w:tabs>
        <w:spacing w:line="240" w:lineRule="auto"/>
        <w:ind w:left="5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Developed advanced reporting tools in Tableau, enabling data-driven decision-making and improving team resource management.</w:t>
      </w:r>
    </w:p>
    <w:p w:rsidR="00000000" w:rsidDel="00000000" w:rsidP="00000000" w:rsidRDefault="00000000" w:rsidRPr="00000000" w14:paraId="0000002C">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Optimized system performance and security through monitoring, access management, and disaster recovery solutions, enhancing resilience and uptime.</w:t>
      </w:r>
    </w:p>
    <w:p w:rsidR="00000000" w:rsidDel="00000000" w:rsidP="00000000" w:rsidRDefault="00000000" w:rsidRPr="00000000" w14:paraId="0000002D">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Led RCA and incident response improvements, developing SOPs and detailed RCA reports to strengthen reliability and reduce resolution times.</w:t>
      </w:r>
    </w:p>
    <w:p w:rsidR="00000000" w:rsidDel="00000000" w:rsidP="00000000" w:rsidRDefault="00000000" w:rsidRPr="00000000" w14:paraId="0000002E">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Resolved complex infrastructure issues across hardware, software, and networking to maintain peak performance and availability.</w:t>
      </w:r>
    </w:p>
    <w:p w:rsidR="00000000" w:rsidDel="00000000" w:rsidP="00000000" w:rsidRDefault="00000000" w:rsidRPr="00000000" w14:paraId="0000002F">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Restructured department operations, launching Trust &amp; Safety, Training, and Data Analytics teams to improve efficiency and decision-making.</w:t>
      </w:r>
    </w:p>
    <w:p w:rsidR="00000000" w:rsidDel="00000000" w:rsidP="00000000" w:rsidRDefault="00000000" w:rsidRPr="00000000" w14:paraId="00000030">
      <w:pPr>
        <w:tabs>
          <w:tab w:val="right" w:leader="none" w:pos="9990"/>
        </w:tabs>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tabs>
          <w:tab w:val="right" w:leader="none" w:pos="9990"/>
        </w:tabs>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Bayada Home Health Care</w:t>
        <w:tab/>
        <w:t xml:space="preserve">January 2013 - September 2014</w:t>
      </w:r>
    </w:p>
    <w:p w:rsidR="00000000" w:rsidDel="00000000" w:rsidP="00000000" w:rsidRDefault="00000000" w:rsidRPr="00000000" w14:paraId="00000032">
      <w:pPr>
        <w:tabs>
          <w:tab w:val="right" w:leader="none" w:pos="9990"/>
        </w:tabs>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Systems Administrator</w:t>
      </w:r>
    </w:p>
    <w:p w:rsidR="00000000" w:rsidDel="00000000" w:rsidP="00000000" w:rsidRDefault="00000000" w:rsidRPr="00000000" w14:paraId="00000033">
      <w:pPr>
        <w:numPr>
          <w:ilvl w:val="0"/>
          <w:numId w:val="1"/>
        </w:numPr>
        <w:tabs>
          <w:tab w:val="right" w:leader="none" w:pos="9990"/>
        </w:tabs>
        <w:spacing w:line="240" w:lineRule="auto"/>
        <w:ind w:left="540" w:hanging="360"/>
        <w:rPr>
          <w:rFonts w:ascii="Noto Sans Symbols" w:cs="Noto Sans Symbols" w:eastAsia="Noto Sans Symbols" w:hAnsi="Noto Sans Symbols"/>
          <w:sz w:val="20"/>
          <w:szCs w:val="20"/>
        </w:rPr>
      </w:pPr>
      <w:r w:rsidDel="00000000" w:rsidR="00000000" w:rsidRPr="00000000">
        <w:rPr>
          <w:rFonts w:ascii="Calibri" w:cs="Calibri" w:eastAsia="Calibri" w:hAnsi="Calibri"/>
          <w:sz w:val="20"/>
          <w:szCs w:val="20"/>
          <w:rtl w:val="0"/>
        </w:rPr>
        <w:t xml:space="preserve">Designed and implemented deployment strategies for healthcare and patient management software, ensuring seamless integration with hardware systems.</w:t>
      </w:r>
    </w:p>
    <w:p w:rsidR="00000000" w:rsidDel="00000000" w:rsidP="00000000" w:rsidRDefault="00000000" w:rsidRPr="00000000" w14:paraId="00000034">
      <w:pPr>
        <w:tabs>
          <w:tab w:val="right" w:leader="none" w:pos="9990"/>
        </w:tabs>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tabs>
          <w:tab w:val="right" w:leader="none" w:pos="9990"/>
        </w:tabs>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Education</w:t>
      </w:r>
    </w:p>
    <w:p w:rsidR="00000000" w:rsidDel="00000000" w:rsidP="00000000" w:rsidRDefault="00000000" w:rsidRPr="00000000" w14:paraId="00000036">
      <w:pPr>
        <w:tabs>
          <w:tab w:val="right" w:leader="none" w:pos="9990"/>
        </w:tabs>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Bachelor of Science (B.S.) Computer Science, </w:t>
      </w:r>
      <w:r w:rsidDel="00000000" w:rsidR="00000000" w:rsidRPr="00000000">
        <w:rPr>
          <w:rFonts w:ascii="Calibri" w:cs="Calibri" w:eastAsia="Calibri" w:hAnsi="Calibri"/>
          <w:sz w:val="20"/>
          <w:szCs w:val="20"/>
          <w:rtl w:val="0"/>
        </w:rPr>
        <w:t xml:space="preserve">Minor in </w:t>
      </w:r>
      <w:r w:rsidDel="00000000" w:rsidR="00000000" w:rsidRPr="00000000">
        <w:rPr>
          <w:rFonts w:ascii="Calibri" w:cs="Calibri" w:eastAsia="Calibri" w:hAnsi="Calibri"/>
          <w:b w:val="1"/>
          <w:sz w:val="20"/>
          <w:szCs w:val="20"/>
          <w:rtl w:val="0"/>
        </w:rPr>
        <w:t xml:space="preserve">Mathematics</w:t>
      </w:r>
    </w:p>
    <w:p w:rsidR="00000000" w:rsidDel="00000000" w:rsidP="00000000" w:rsidRDefault="00000000" w:rsidRPr="00000000" w14:paraId="00000037">
      <w:pPr>
        <w:tabs>
          <w:tab w:val="right" w:leader="none" w:pos="9990"/>
        </w:tabs>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Specialization in </w:t>
      </w:r>
      <w:r w:rsidDel="00000000" w:rsidR="00000000" w:rsidRPr="00000000">
        <w:rPr>
          <w:rFonts w:ascii="Calibri" w:cs="Calibri" w:eastAsia="Calibri" w:hAnsi="Calibri"/>
          <w:b w:val="1"/>
          <w:sz w:val="20"/>
          <w:szCs w:val="20"/>
          <w:rtl w:val="0"/>
        </w:rPr>
        <w:t xml:space="preserve">Programming Languages &amp; Compiler Design</w:t>
      </w:r>
    </w:p>
    <w:p w:rsidR="00000000" w:rsidDel="00000000" w:rsidP="00000000" w:rsidRDefault="00000000" w:rsidRPr="00000000" w14:paraId="00000038">
      <w:pPr>
        <w:tabs>
          <w:tab w:val="right" w:leader="none" w:pos="9990"/>
        </w:tabs>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Rowan University, NJ</w:t>
      </w:r>
    </w:p>
    <w:p w:rsidR="00000000" w:rsidDel="00000000" w:rsidP="00000000" w:rsidRDefault="00000000" w:rsidRPr="00000000" w14:paraId="00000039">
      <w:pPr>
        <w:tabs>
          <w:tab w:val="right" w:leader="none" w:pos="9990"/>
        </w:tabs>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A">
      <w:pPr>
        <w:tabs>
          <w:tab w:val="right" w:leader="none" w:pos="9990"/>
        </w:tabs>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Certified Scrum Product Owner (CSPO)</w:t>
      </w:r>
    </w:p>
    <w:p w:rsidR="00000000" w:rsidDel="00000000" w:rsidP="00000000" w:rsidRDefault="00000000" w:rsidRPr="00000000" w14:paraId="0000003B">
      <w:pPr>
        <w:tabs>
          <w:tab w:val="right" w:leader="none" w:pos="9990"/>
        </w:tabs>
        <w:spacing w:line="240" w:lineRule="auto"/>
        <w:rPr/>
      </w:pPr>
      <w:r w:rsidDel="00000000" w:rsidR="00000000" w:rsidRPr="00000000">
        <w:rPr>
          <w:rFonts w:ascii="Calibri" w:cs="Calibri" w:eastAsia="Calibri" w:hAnsi="Calibri"/>
          <w:sz w:val="20"/>
          <w:szCs w:val="20"/>
          <w:rtl w:val="0"/>
        </w:rPr>
        <w:t xml:space="preserve">Scrum Alliance</w:t>
      </w:r>
      <w:r w:rsidDel="00000000" w:rsidR="00000000" w:rsidRPr="00000000">
        <w:rPr>
          <w:rtl w:val="0"/>
        </w:rPr>
      </w:r>
    </w:p>
    <w:sectPr>
      <w:headerReference r:id="rId7" w:type="default"/>
      <w:headerReference r:id="rId8" w:type="first"/>
      <w:footerReference r:id="rId9" w:type="first"/>
      <w:pgSz w:h="15840" w:w="12240" w:orient="portrait"/>
      <w:pgMar w:bottom="1440" w:top="90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tabs>
        <w:tab w:val="center" w:leader="none" w:pos="5040"/>
        <w:tab w:val="right" w:leader="none" w:pos="9990"/>
      </w:tabs>
      <w:spacing w:line="240" w:lineRule="auto"/>
      <w:rPr/>
    </w:pPr>
    <w:r w:rsidDel="00000000" w:rsidR="00000000" w:rsidRPr="00000000">
      <w:rPr>
        <w:rFonts w:ascii="Calibri" w:cs="Calibri" w:eastAsia="Calibri" w:hAnsi="Calibri"/>
        <w:sz w:val="20"/>
        <w:szCs w:val="20"/>
        <w:rtl w:val="0"/>
      </w:rPr>
      <w:t xml:space="preserve">Salvador Carrasco</w:t>
      <w:tab/>
      <w:t xml:space="preserve">scarras91@gmail.com</w:t>
      <w:tab/>
      <w:t xml:space="preserve">Page 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linkedin.com/in/sal-carrasco"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