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52"/>
          <w:szCs w:val="52"/>
        </w:rPr>
        <w:t xml:space="preserve">VOLUNTARY ATTRITION MODEL</w:t>
      </w:r>
    </w:p>
    <w:p>
      <w:pPr>
        <w:spacing w:before="0" w:after="40"/>
      </w:pPr>
      <w:r>
        <w:rPr>
          <w:rFonts w:ascii="Arial" w:cs="Arial" w:eastAsia="Arial" w:hAnsi="Arial"/>
          <w:b w:val="false"/>
          <w:bCs w:val="false"/>
          <w:color w:val="2E75B6"/>
          <w:sz w:val="30"/>
          <w:szCs w:val="30"/>
        </w:rPr>
        <w:t xml:space="preserve">Model Selection &amp; Architecture Framework</w:t>
      </w:r>
    </w:p>
    <w:p>
      <w:pPr>
        <w:spacing w:before="0" w:after="240"/>
      </w:pPr>
      <w:r>
        <w:rPr>
          <w:rFonts w:ascii="Arial" w:cs="Arial" w:eastAsia="Arial" w:hAnsi="Arial"/>
          <w:color w:val="888888"/>
          <w:sz w:val="20"/>
          <w:szCs w:val="20"/>
        </w:rPr>
        <w:t xml:space="preserve">BlackRock People Analytics  |  25,000 Employee Population  |  2025</w:t>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Problem Framing</w:t>
      </w:r>
    </w:p>
    <w:p>
      <w:pPr>
        <w:spacing w:before="60" w:after="80"/>
      </w:pPr>
      <w:r>
        <w:rPr>
          <w:rFonts w:ascii="Arial" w:cs="Arial" w:eastAsia="Arial" w:hAnsi="Arial"/>
          <w:sz w:val="22"/>
          <w:szCs w:val="22"/>
        </w:rPr>
        <w:t xml:space="preserve">The model predicts the likelihood of voluntary resignation for each active employee. Involuntary terminations, retirements, and role eliminations are explicitly excluded from the target label. Two complementary modelling formulations are recommended to be run in parallel, serving different business use cases.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Dimension</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Binary Classification</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Survival Analysis (Cox PH)</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Business question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Will this person leave in the next 3–6 months?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When will this person leave, and what accelerates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Risk score (0–1) per employee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Hazard curve + hazard ratios per feature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Primary use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Quarterly HRBP intervention lists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Headcount forecasting, tenure cohort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Algorithms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XGBoost, LightGBM, Logistic Regression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Cox Proportional Hazards, Kaplan-Meier</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Key metric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AUC-PR, Recall @ top decile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C-index (concordance)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Prediction window</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3–6 months ahead (fixed horizon)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tenure duration (time-sensitive)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Priority</w:t>
            </w:r>
          </w:p>
        </w:tc>
        <w:tc>
          <w:tcPr>
            <w:tcW w:type="dxa" w:w="3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Primary — build first</w:t>
            </w:r>
          </w:p>
        </w:tc>
        <w:tc>
          <w:tcPr>
            <w:tcW w:type="dxa" w:w="3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C3E50"/>
                <w:sz w:val="20"/>
                <w:szCs w:val="20"/>
              </w:rPr>
              <w:t xml:space="preserve">Secondary — strategic layer</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2. Algorithm Selection</w:t>
      </w:r>
    </w:p>
    <w:p>
      <w:pPr>
        <w:spacing w:before="60" w:after="80"/>
      </w:pPr>
      <w:r>
        <w:rPr>
          <w:rFonts w:ascii="Arial" w:cs="Arial" w:eastAsia="Arial" w:hAnsi="Arial"/>
          <w:sz w:val="22"/>
          <w:szCs w:val="22"/>
        </w:rPr>
        <w:t xml:space="preserve">Algorithm selection for a 25,000-employee population with monthly snapshots and heavy categorical features (department, job family, grade band, region) follows a clear hierarchy. All three primary algorithms should be trained and evaluated; the final model is selected based on temporal validation performance, not training set metrics.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80"/>
        <w:gridCol w:w="1480"/>
        <w:gridCol w:w="2000"/>
      </w:tblGrid>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Algorithm</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Predictive power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Training speed</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Categorical handling</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HR suitability</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Recommendation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XGBoost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~0.85–0.92 AUC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Fast — seconds on 25K</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encoding required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Best documented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A5C2A"/>
                <w:sz w:val="20"/>
                <w:szCs w:val="20"/>
              </w:rPr>
              <w:t xml:space="preserve">PRIMARY — use as champion model</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LightGBM</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  ~0.85–0.92 AUC</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Fastest — 7× faster than XGB</w:t>
            </w:r>
          </w:p>
        </w:tc>
        <w:tc>
          <w:tcPr>
            <w:tcW w:type="dxa" w:w="1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Native support, needs int type</w:t>
            </w:r>
          </w:p>
        </w:tc>
        <w:tc>
          <w:tcPr>
            <w:tcW w:type="dxa" w:w="1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  Smaller community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7D4E00"/>
                <w:sz w:val="20"/>
                <w:szCs w:val="20"/>
              </w:rPr>
              <w:t xml:space="preserve">USE if retraining frequently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CatBoost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~0.95 AUC (tuned)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Moderate — slower training</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Best-in-class, no encoding</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Great defaults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1A3F6F"/>
                <w:sz w:val="20"/>
                <w:szCs w:val="20"/>
              </w:rPr>
              <w:t xml:space="preserve">RUN in parallel for validation</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Logistic Regression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  ~0.78–0.82 AUC</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Instant</w:t>
            </w:r>
          </w:p>
        </w:tc>
        <w:tc>
          <w:tcPr>
            <w:tcW w:type="dxa" w:w="1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encoding required</w:t>
            </w:r>
          </w:p>
        </w:tc>
        <w:tc>
          <w:tcPr>
            <w:tcW w:type="dxa" w:w="1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  Most explainable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20"/>
                <w:szCs w:val="20"/>
              </w:rPr>
              <w:t xml:space="preserve">MANDATORY baseline for comparison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~0.82–0.88 AUC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Moderate — parallel, scalable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encoding required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Good SHAP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OPTIONAL secondary check</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3. Class Imbalance Strategy</w:t>
      </w:r>
    </w:p>
    <w:p>
      <w:pPr>
        <w:spacing w:before="60" w:after="80"/>
      </w:pPr>
      <w:r>
        <w:rPr>
          <w:rFonts w:ascii="Arial" w:cs="Arial" w:eastAsia="Arial" w:hAnsi="Arial"/>
          <w:sz w:val="22"/>
          <w:szCs w:val="22"/>
        </w:rPr>
        <w:t xml:space="preserve">Voluntary attrition in financial services typically represents 8–18% of the active population annually. A naive model exploits this imbalance by predicting 'stays' for everyone and achieving 85%+ accuracy — which is operationally useless. The following hierarchy of techniques applies.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8F4FD" w:val="clear"/>
            <w:tcMar>
              <w:top w:type="dxa" w:w="120"/>
              <w:left w:type="dxa" w:w="160"/>
              <w:bottom w:type="dxa" w:w="120"/>
              <w:right w:type="dxa" w:w="160"/>
            </w:tcMar>
          </w:tcPr>
          <w:p>
            <w:pPr>
              <w:spacing w:before="40" w:after="60"/>
            </w:pPr>
            <w:r>
              <w:rPr>
                <w:rFonts w:ascii="Arial" w:cs="Arial" w:eastAsia="Arial" w:hAnsi="Arial"/>
                <w:b/>
                <w:bCs/>
                <w:color w:val="2E75B6"/>
                <w:sz w:val="22"/>
                <w:szCs w:val="22"/>
              </w:rPr>
              <w:t xml:space="preserve">Recommended approach: Class weighting first, SMOTE only if needed</w:t>
            </w:r>
          </w:p>
          <w:p>
            <w:pPr>
              <w:pStyle w:val="ListParagraph"/>
              <w:numPr>
                <w:ilvl w:val="0"/>
                <w:numId w:val="2"/>
              </w:numPr>
              <w:spacing w:before="30" w:after="30"/>
            </w:pPr>
            <w:r>
              <w:rPr>
                <w:rFonts w:ascii="Arial" w:cs="Arial" w:eastAsia="Arial" w:hAnsi="Arial"/>
                <w:color w:val="2C3E50"/>
                <w:sz w:val="20"/>
                <w:szCs w:val="20"/>
              </w:rPr>
              <w:t xml:space="preserve">Step 1: Set scale_pos_weight in XGBoost = ratio of non-leavers to leavers (e.g. if 12% attrition, set to ~7.3). This is clean, requires no synthetic data, and passes data governance scrutiny.</w:t>
            </w:r>
          </w:p>
          <w:p>
            <w:pPr>
              <w:pStyle w:val="ListParagraph"/>
              <w:numPr>
                <w:ilvl w:val="0"/>
                <w:numId w:val="2"/>
              </w:numPr>
              <w:spacing w:before="30" w:after="30"/>
            </w:pPr>
            <w:r>
              <w:rPr>
                <w:rFonts w:ascii="Arial" w:cs="Arial" w:eastAsia="Arial" w:hAnsi="Arial"/>
                <w:color w:val="2C3E50"/>
                <w:sz w:val="20"/>
                <w:szCs w:val="20"/>
              </w:rPr>
              <w:t xml:space="preserve">Step 2: If recall on the minority class is still insufficient after threshold tuning, apply SMOTE — but ONLY on the training fold. Never apply SMOTE to validation or test data.</w:t>
            </w:r>
          </w:p>
          <w:p>
            <w:pPr>
              <w:pStyle w:val="ListParagraph"/>
              <w:numPr>
                <w:ilvl w:val="0"/>
                <w:numId w:val="2"/>
              </w:numPr>
              <w:spacing w:before="30" w:after="30"/>
            </w:pPr>
            <w:r>
              <w:rPr>
                <w:rFonts w:ascii="Arial" w:cs="Arial" w:eastAsia="Arial" w:hAnsi="Arial"/>
                <w:color w:val="2C3E50"/>
                <w:sz w:val="20"/>
                <w:szCs w:val="20"/>
              </w:rPr>
              <w:t xml:space="preserve">Step 3: Evaluate SMOTE + Tomek Links hybrid if boundary cases remain problematic. This combination oversamples minority and cleans ambiguous majority boundary cases simultaneously.</w:t>
            </w:r>
          </w:p>
          <w:p>
            <w:pPr>
              <w:pStyle w:val="ListParagraph"/>
              <w:numPr>
                <w:ilvl w:val="0"/>
                <w:numId w:val="2"/>
              </w:numPr>
              <w:spacing w:before="30" w:after="30"/>
            </w:pPr>
            <w:r>
              <w:rPr>
                <w:rFonts w:ascii="Arial" w:cs="Arial" w:eastAsia="Arial" w:hAnsi="Arial"/>
                <w:color w:val="2C3E50"/>
                <w:sz w:val="20"/>
                <w:szCs w:val="20"/>
              </w:rPr>
              <w:t xml:space="preserve">Never use GAN-based oversampling in a corporate deployment — the complexity is rarely justified and will not pass model governance review.</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4. Validation Strategy</w:t>
      </w:r>
    </w:p>
    <w:p>
      <w:pPr>
        <w:spacing w:before="60" w:after="80"/>
      </w:pPr>
      <w:r>
        <w:rPr>
          <w:rFonts w:ascii="Arial" w:cs="Arial" w:eastAsia="Arial" w:hAnsi="Arial"/>
          <w:sz w:val="22"/>
          <w:szCs w:val="22"/>
        </w:rPr>
        <w:t xml:space="preserve">Standard random train/test splits are prohibited for time-series HR data due to data leakage. Temporal validation is mandatory — the model must be trained on the past and validated on the future, mirroring real deployment conditions.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Split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Period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A5C2A"/>
                <w:sz w:val="20"/>
                <w:szCs w:val="20"/>
              </w:rPr>
              <w:t xml:space="preserve">Training set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January 2022 – December 2023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Model learns attrition patterns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C3E50"/>
                <w:sz w:val="20"/>
                <w:szCs w:val="20"/>
              </w:rPr>
              <w:t xml:space="preserve">Core training window — stable market dynamics</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D4E00"/>
                <w:sz w:val="20"/>
                <w:szCs w:val="20"/>
              </w:rPr>
              <w:t xml:space="preserve">Validation set</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C3E50"/>
                <w:sz w:val="20"/>
                <w:szCs w:val="20"/>
              </w:rPr>
              <w:t xml:space="preserve">January 2024 – December 2024</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C3E50"/>
                <w:sz w:val="20"/>
                <w:szCs w:val="20"/>
              </w:rPr>
              <w:t xml:space="preserve">Hyperparameter tuning, threshold setting</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C3E50"/>
                <w:sz w:val="20"/>
                <w:szCs w:val="20"/>
              </w:rPr>
              <w:t xml:space="preserve">Never used for training. Tune here, not on test.</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F6F"/>
                <w:sz w:val="20"/>
                <w:szCs w:val="20"/>
              </w:rPr>
              <w:t xml:space="preserve">Test holdout</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3E50"/>
                <w:sz w:val="20"/>
                <w:szCs w:val="20"/>
              </w:rPr>
              <w:t xml:space="preserve">January 2025 – latest 2026</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Final performance report and bias audit</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3E50"/>
                <w:sz w:val="20"/>
                <w:szCs w:val="20"/>
              </w:rPr>
              <w:t xml:space="preserve">Treat as sacred. Touch only once at the very end.</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Feature history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2018 – 2021 (excluded from training)</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used as training observations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Tenure and time-in-title already pre-calculated — no need to include as rows.</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5. Model Evaluation Metrics</w:t>
      </w:r>
    </w:p>
    <w:p>
      <w:pPr>
        <w:spacing w:before="60" w:after="80"/>
      </w:pPr>
      <w:r>
        <w:rPr>
          <w:rFonts w:ascii="Arial" w:cs="Arial" w:eastAsia="Arial" w:hAnsi="Arial"/>
          <w:sz w:val="22"/>
          <w:szCs w:val="22"/>
        </w:rPr>
        <w:t xml:space="preserve">Accuracy is not a valid metric for imbalanced attrition data. The following metric hierarchy applies, ordered by operational importance.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Metric</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Target threshold</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AUC-PR (Primary)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 0.40 (strong for imbalanced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Most informative metric for imbalanced classes. Directly measures precision-recall trade-off on the minority (leaver) class.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AUC-ROC</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&gt; 0.80 solid, &gt; 0.85 excellent</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Standard discrimination metric. 0.85+ on temporal holdout indicates a genuinely strong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Recall @ top decile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 40–50% of actual leavers captured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operational metric HRBPs understand. Of all employees who actually left, what % were in our top-10% risk list?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F1 @ tuned threshold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Tune threshold on validation set, not 0.5 default</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Default 0.5 threshold almost always underperforms. Tune threshold to balance precision and recall for your intervention capacity.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Accuracy</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Do not use</w:t>
            </w:r>
          </w:p>
        </w:tc>
        <w:tc>
          <w:tcPr>
            <w:tcW w:type="dxa" w:w="4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2C3E50"/>
                <w:sz w:val="20"/>
                <w:szCs w:val="20"/>
              </w:rPr>
              <w:t xml:space="preserve">A model predicting 'stays' for everyone achieves 85%+ accuracy on 15% attrition data. This metric is meaningless for this use case.</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6. Explainability Layer (SHAP)</w:t>
      </w:r>
    </w:p>
    <w:p>
      <w:pPr>
        <w:spacing w:before="60" w:after="80"/>
      </w:pPr>
      <w:r>
        <w:rPr>
          <w:rFonts w:ascii="Arial" w:cs="Arial" w:eastAsia="Arial" w:hAnsi="Arial"/>
          <w:sz w:val="22"/>
          <w:szCs w:val="22"/>
        </w:rPr>
        <w:t xml:space="preserve">SHAP (SHapley Additive exPlanations) is mandatory for any attrition model deployed in a corporate environment. Without explainability, HRBPs cannot act on scores, leadership cannot trust the model, and the model will not survive its first governance review.</w:t>
      </w:r>
    </w:p>
    <w:p>
      <w:pPr>
        <w:spacing w:before="60" w:after="0"/>
      </w:pPr>
      <w:r>
        <w:t xml:space="preserve"/>
      </w:r>
    </w:p>
    <w:p>
      <w:pPr>
        <w:pStyle w:val="Heading2"/>
        <w:spacing w:before="240" w:after="80"/>
      </w:pPr>
      <w:r>
        <w:rPr>
          <w:rFonts w:ascii="Arial" w:cs="Arial" w:eastAsia="Arial" w:hAnsi="Arial"/>
          <w:b/>
          <w:bCs/>
          <w:color w:val="2E75B6"/>
          <w:sz w:val="26"/>
          <w:szCs w:val="26"/>
        </w:rPr>
        <w:t xml:space="preserve">6.1 Global SHAP — Portfolio-level story</w:t>
      </w:r>
    </w:p>
    <w:p>
      <w:pPr>
        <w:spacing w:before="60" w:after="80"/>
      </w:pPr>
      <w:r>
        <w:rPr>
          <w:rFonts w:ascii="Arial" w:cs="Arial" w:eastAsia="Arial" w:hAnsi="Arial"/>
          <w:sz w:val="22"/>
          <w:szCs w:val="22"/>
        </w:rPr>
        <w:t xml:space="preserve">A SHAP summary plot across all 25,000 employees shows which features drive attrition at the population level. This is the CHRO and COO conversation: 'What is driving attrition at BlackRock right now?' Expect 4–6 features to explain the majority of variance.</w:t>
      </w:r>
    </w:p>
    <w:p>
      <w:pPr>
        <w:spacing w:before="60" w:after="0"/>
      </w:pPr>
      <w:r>
        <w:t xml:space="preserve"/>
      </w:r>
    </w:p>
    <w:p>
      <w:pPr>
        <w:pStyle w:val="Heading2"/>
        <w:spacing w:before="240" w:after="80"/>
      </w:pPr>
      <w:r>
        <w:rPr>
          <w:rFonts w:ascii="Arial" w:cs="Arial" w:eastAsia="Arial" w:hAnsi="Arial"/>
          <w:b/>
          <w:bCs/>
          <w:color w:val="2E75B6"/>
          <w:sz w:val="26"/>
          <w:szCs w:val="26"/>
        </w:rPr>
        <w:t xml:space="preserve">6.2 Local SHAP — Individual employee explanation</w:t>
      </w:r>
    </w:p>
    <w:p>
      <w:pPr>
        <w:spacing w:before="60" w:after="80"/>
      </w:pPr>
      <w:r>
        <w:rPr>
          <w:rFonts w:ascii="Arial" w:cs="Arial" w:eastAsia="Arial" w:hAnsi="Arial"/>
          <w:sz w:val="22"/>
          <w:szCs w:val="22"/>
        </w:rPr>
        <w:t xml:space="preserve">A SHAP waterfall or force plot for each individual shows exactly why their score is High, Medium, or Low. This is the HRBP conversation tool. Example output: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8F4FD" w:val="clear"/>
            <w:tcMar>
              <w:top w:type="dxa" w:w="120"/>
              <w:left w:type="dxa" w:w="160"/>
              <w:bottom w:type="dxa" w:w="120"/>
              <w:right w:type="dxa" w:w="160"/>
            </w:tcMar>
          </w:tcPr>
          <w:p>
            <w:pPr>
              <w:spacing w:before="40" w:after="60"/>
            </w:pPr>
            <w:r>
              <w:rPr>
                <w:rFonts w:ascii="Arial" w:cs="Arial" w:eastAsia="Arial" w:hAnsi="Arial"/>
                <w:b/>
                <w:bCs/>
                <w:color w:val="2E75B6"/>
                <w:sz w:val="22"/>
                <w:szCs w:val="22"/>
              </w:rPr>
              <w:t xml:space="preserve">Example SHAP output for an individual employee (High Risk)</w:t>
            </w:r>
          </w:p>
          <w:p>
            <w:pPr>
              <w:pStyle w:val="ListParagraph"/>
              <w:numPr>
                <w:ilvl w:val="0"/>
                <w:numId w:val="2"/>
              </w:numPr>
              <w:spacing w:before="30" w:after="30"/>
            </w:pPr>
            <w:r>
              <w:rPr>
                <w:rFonts w:ascii="Arial" w:cs="Arial" w:eastAsia="Arial" w:hAnsi="Arial"/>
                <w:color w:val="2C3E50"/>
                <w:sz w:val="20"/>
                <w:szCs w:val="20"/>
              </w:rPr>
              <w:t xml:space="preserve">+0.18  Compensation 14% below band midpoint  ↑ increases risk</w:t>
            </w:r>
          </w:p>
          <w:p>
            <w:pPr>
              <w:pStyle w:val="ListParagraph"/>
              <w:numPr>
                <w:ilvl w:val="0"/>
                <w:numId w:val="2"/>
              </w:numPr>
              <w:spacing w:before="30" w:after="30"/>
            </w:pPr>
            <w:r>
              <w:rPr>
                <w:rFonts w:ascii="Arial" w:cs="Arial" w:eastAsia="Arial" w:hAnsi="Arial"/>
                <w:color w:val="2C3E50"/>
                <w:sz w:val="20"/>
                <w:szCs w:val="20"/>
              </w:rPr>
              <w:t xml:space="preserve">+0.15  3.8 years in role without promotion  ↑ increases risk</w:t>
            </w:r>
          </w:p>
          <w:p>
            <w:pPr>
              <w:pStyle w:val="ListParagraph"/>
              <w:numPr>
                <w:ilvl w:val="0"/>
                <w:numId w:val="2"/>
              </w:numPr>
              <w:spacing w:before="30" w:after="30"/>
            </w:pPr>
            <w:r>
              <w:rPr>
                <w:rFonts w:ascii="Arial" w:cs="Arial" w:eastAsia="Arial" w:hAnsi="Arial"/>
                <w:color w:val="2C3E50"/>
                <w:sz w:val="20"/>
                <w:szCs w:val="20"/>
              </w:rPr>
              <w:t xml:space="preserve">+0.11  Engagement score dropped 13 points in September survey  ↑ increases risk</w:t>
            </w:r>
          </w:p>
          <w:p>
            <w:pPr>
              <w:pStyle w:val="ListParagraph"/>
              <w:numPr>
                <w:ilvl w:val="0"/>
                <w:numId w:val="2"/>
              </w:numPr>
              <w:spacing w:before="30" w:after="30"/>
            </w:pPr>
            <w:r>
              <w:rPr>
                <w:rFonts w:ascii="Arial" w:cs="Arial" w:eastAsia="Arial" w:hAnsi="Arial"/>
                <w:color w:val="2C3E50"/>
                <w:sz w:val="20"/>
                <w:szCs w:val="20"/>
              </w:rPr>
              <w:t xml:space="preserve">+0.07  Manager changed twice in 24 months  ↑ increases risk</w:t>
            </w:r>
          </w:p>
          <w:p>
            <w:pPr>
              <w:pStyle w:val="ListParagraph"/>
              <w:numPr>
                <w:ilvl w:val="0"/>
                <w:numId w:val="2"/>
              </w:numPr>
              <w:spacing w:before="30" w:after="30"/>
            </w:pPr>
            <w:r>
              <w:rPr>
                <w:rFonts w:ascii="Arial" w:cs="Arial" w:eastAsia="Arial" w:hAnsi="Arial"/>
                <w:color w:val="2C3E50"/>
                <w:sz w:val="20"/>
                <w:szCs w:val="20"/>
              </w:rPr>
              <w:t xml:space="preserve">−0.09  Strong performance rating (Exceeds)  ↓ reduces risk</w:t>
            </w:r>
          </w:p>
          <w:p>
            <w:pPr>
              <w:pStyle w:val="ListParagraph"/>
              <w:numPr>
                <w:ilvl w:val="0"/>
                <w:numId w:val="2"/>
              </w:numPr>
              <w:spacing w:before="30" w:after="30"/>
            </w:pPr>
            <w:r>
              <w:rPr>
                <w:rFonts w:ascii="Arial" w:cs="Arial" w:eastAsia="Arial" w:hAnsi="Arial"/>
                <w:color w:val="2C3E50"/>
                <w:sz w:val="20"/>
                <w:szCs w:val="20"/>
              </w:rPr>
              <w:t xml:space="preserve">−0.06  22 months company tenure (early honeymoon period)  ↓ reduces risk</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7. Prediction Window</w:t>
      </w:r>
    </w:p>
    <w:p>
      <w:pPr>
        <w:spacing w:before="60" w:after="80"/>
      </w:pPr>
      <w:r>
        <w:rPr>
          <w:rFonts w:ascii="Arial" w:cs="Arial" w:eastAsia="Arial" w:hAnsi="Arial"/>
          <w:sz w:val="22"/>
          <w:szCs w:val="22"/>
        </w:rPr>
        <w:t xml:space="preserve">The prediction window determines how far ahead the model looks when assigning the attrition label. This directly affects how much lead time HRBPs have to intervene.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Window</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Verdict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 month (next month)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Highest precision, minimal noise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Almost no lead time for action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Too short for HRBP workflow</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F6F"/>
                <w:sz w:val="20"/>
                <w:szCs w:val="20"/>
              </w:rPr>
              <w:t xml:space="preserve">3 months (next quarter)</w:t>
            </w:r>
          </w:p>
        </w:tc>
        <w:tc>
          <w:tcPr>
            <w:tcW w:type="dxa" w:w="25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3E50"/>
                <w:sz w:val="20"/>
                <w:szCs w:val="20"/>
              </w:rPr>
              <w:t xml:space="preserve">Enough runway for retention conversation</w:t>
            </w:r>
          </w:p>
        </w:tc>
        <w:tc>
          <w:tcPr>
            <w:tcW w:type="dxa" w:w="25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Moderate precision loss vs 1 month</w:t>
            </w:r>
          </w:p>
        </w:tc>
        <w:tc>
          <w:tcPr>
            <w:tcW w:type="dxa" w:w="2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A5C2A"/>
                <w:sz w:val="20"/>
                <w:szCs w:val="20"/>
              </w:rPr>
              <w:t xml:space="preserve">RECOMMENDED — aligns with quarterly talent reviews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6 months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Maximum intervention runway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Lower precision, market context can shift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Good as a strategic planning supplement</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8. Deployment &amp; Governance</w:t>
      </w:r>
    </w:p>
    <w:p>
      <w:pPr>
        <w:spacing w:before="60" w:after="80"/>
      </w:pPr>
      <w:r>
        <w:rPr>
          <w:rFonts w:ascii="Arial" w:cs="Arial" w:eastAsia="Arial" w:hAnsi="Arial"/>
          <w:sz w:val="22"/>
          <w:szCs w:val="22"/>
        </w:rPr>
        <w:t xml:space="preserve">The deployment architecture for 25,000 employees does not require real-time scoring. A batch approach is operationally sufficient, easier to govern, and more transparent.</w:t>
      </w:r>
    </w:p>
    <w:p>
      <w:pPr>
        <w:spacing w:before="60" w:after="0"/>
      </w:pPr>
      <w:r>
        <w:t xml:space="preserve"/>
      </w:r>
    </w:p>
    <w:p>
      <w:pPr>
        <w:pStyle w:val="Heading2"/>
        <w:spacing w:before="240" w:after="80"/>
      </w:pPr>
      <w:r>
        <w:rPr>
          <w:rFonts w:ascii="Arial" w:cs="Arial" w:eastAsia="Arial" w:hAnsi="Arial"/>
          <w:b/>
          <w:bCs/>
          <w:color w:val="2E75B6"/>
          <w:sz w:val="26"/>
          <w:szCs w:val="26"/>
        </w:rPr>
        <w:t xml:space="preserve">8.1 Scoring cadence</w:t>
      </w:r>
    </w:p>
    <w:p>
      <w:pPr>
        <w:pStyle w:val="ListParagraph"/>
        <w:numPr>
          <w:ilvl w:val="0"/>
          <w:numId w:val="2"/>
        </w:numPr>
        <w:spacing w:before="40" w:after="40"/>
      </w:pPr>
      <w:r>
        <w:rPr>
          <w:rFonts w:ascii="Arial" w:cs="Arial" w:eastAsia="Arial" w:hAnsi="Arial"/>
          <w:sz w:val="22"/>
          <w:szCs w:val="22"/>
        </w:rPr>
        <w:t xml:space="preserve">Retrain model quarterly on 2–3 years of rolling historical data</w:t>
      </w:r>
    </w:p>
    <w:p>
      <w:pPr>
        <w:pStyle w:val="ListParagraph"/>
        <w:numPr>
          <w:ilvl w:val="0"/>
          <w:numId w:val="2"/>
        </w:numPr>
        <w:spacing w:before="40" w:after="40"/>
      </w:pPr>
      <w:r>
        <w:rPr>
          <w:rFonts w:ascii="Arial" w:cs="Arial" w:eastAsia="Arial" w:hAnsi="Arial"/>
          <w:sz w:val="22"/>
          <w:szCs w:val="22"/>
        </w:rPr>
        <w:t xml:space="preserve">Score the full active population monthly in a batch job</w:t>
      </w:r>
    </w:p>
    <w:p>
      <w:pPr>
        <w:pStyle w:val="ListParagraph"/>
        <w:numPr>
          <w:ilvl w:val="0"/>
          <w:numId w:val="2"/>
        </w:numPr>
        <w:spacing w:before="40" w:after="40"/>
      </w:pPr>
      <w:r>
        <w:rPr>
          <w:rFonts w:ascii="Arial" w:cs="Arial" w:eastAsia="Arial" w:hAnsi="Arial"/>
          <w:sz w:val="22"/>
          <w:szCs w:val="22"/>
        </w:rPr>
        <w:t xml:space="preserve">Deliver risk bands (High / Medium / Low) to HRBPs via Power BI or Workday reports</w:t>
      </w:r>
    </w:p>
    <w:p>
      <w:pPr>
        <w:pStyle w:val="ListParagraph"/>
        <w:numPr>
          <w:ilvl w:val="0"/>
          <w:numId w:val="2"/>
        </w:numPr>
        <w:spacing w:before="40" w:after="40"/>
      </w:pPr>
      <w:r>
        <w:rPr>
          <w:rFonts w:ascii="Arial" w:cs="Arial" w:eastAsia="Arial" w:hAnsi="Arial"/>
          <w:sz w:val="22"/>
          <w:szCs w:val="22"/>
        </w:rPr>
        <w:t xml:space="preserve">Never deliver raw probability scores to line managers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8.2 Access control</w:t>
      </w:r>
    </w:p>
    <w:p>
      <w:pPr>
        <w:pStyle w:val="ListParagraph"/>
        <w:numPr>
          <w:ilvl w:val="0"/>
          <w:numId w:val="2"/>
        </w:numPr>
        <w:spacing w:before="40" w:after="40"/>
      </w:pPr>
      <w:r>
        <w:rPr>
          <w:rFonts w:ascii="Arial" w:cs="Arial" w:eastAsia="Arial" w:hAnsi="Arial"/>
          <w:sz w:val="22"/>
          <w:szCs w:val="22"/>
        </w:rPr>
        <w:t xml:space="preserve">Model scores visible to HRBPs only — not to line managers or employees</w:t>
      </w:r>
    </w:p>
    <w:p>
      <w:pPr>
        <w:pStyle w:val="ListParagraph"/>
        <w:numPr>
          <w:ilvl w:val="0"/>
          <w:numId w:val="2"/>
        </w:numPr>
        <w:spacing w:before="40" w:after="40"/>
      </w:pPr>
      <w:r>
        <w:rPr>
          <w:rFonts w:ascii="Arial" w:cs="Arial" w:eastAsia="Arial" w:hAnsi="Arial"/>
          <w:sz w:val="22"/>
          <w:szCs w:val="22"/>
        </w:rPr>
        <w:t xml:space="preserve">Scores presented as risk bands, not raw probabilities</w:t>
      </w:r>
    </w:p>
    <w:p>
      <w:pPr>
        <w:pStyle w:val="ListParagraph"/>
        <w:numPr>
          <w:ilvl w:val="0"/>
          <w:numId w:val="2"/>
        </w:numPr>
        <w:spacing w:before="40" w:after="40"/>
      </w:pPr>
      <w:r>
        <w:rPr>
          <w:rFonts w:ascii="Arial" w:cs="Arial" w:eastAsia="Arial" w:hAnsi="Arial"/>
          <w:sz w:val="22"/>
          <w:szCs w:val="22"/>
        </w:rPr>
        <w:t xml:space="preserve">Each high-risk flag must include the top 3 SHAP drivers and a suggested retention action</w:t>
      </w:r>
    </w:p>
    <w:p>
      <w:pPr>
        <w:spacing w:before="60" w:after="0"/>
      </w:pPr>
      <w:r>
        <w:t xml:space="preserve"/>
      </w:r>
    </w:p>
    <w:p>
      <w:pPr>
        <w:pStyle w:val="Heading2"/>
        <w:spacing w:before="240" w:after="80"/>
      </w:pPr>
      <w:r>
        <w:rPr>
          <w:rFonts w:ascii="Arial" w:cs="Arial" w:eastAsia="Arial" w:hAnsi="Arial"/>
          <w:b/>
          <w:bCs/>
          <w:color w:val="2E75B6"/>
          <w:sz w:val="26"/>
          <w:szCs w:val="26"/>
        </w:rPr>
        <w:t xml:space="preserve">8.3 Bias and governance</w:t>
      </w:r>
    </w:p>
    <w:p>
      <w:pPr>
        <w:pStyle w:val="ListParagraph"/>
        <w:numPr>
          <w:ilvl w:val="0"/>
          <w:numId w:val="2"/>
        </w:numPr>
        <w:spacing w:before="40" w:after="40"/>
      </w:pPr>
      <w:r>
        <w:rPr>
          <w:rFonts w:ascii="Arial" w:cs="Arial" w:eastAsia="Arial" w:hAnsi="Arial"/>
          <w:sz w:val="22"/>
          <w:szCs w:val="22"/>
        </w:rPr>
        <w:t xml:space="preserve">Run demographic parity and equalized odds tests on output scores at model launch</w:t>
      </w:r>
    </w:p>
    <w:p>
      <w:pPr>
        <w:pStyle w:val="ListParagraph"/>
        <w:numPr>
          <w:ilvl w:val="0"/>
          <w:numId w:val="2"/>
        </w:numPr>
        <w:spacing w:before="40" w:after="40"/>
      </w:pPr>
      <w:r>
        <w:rPr>
          <w:rFonts w:ascii="Arial" w:cs="Arial" w:eastAsia="Arial" w:hAnsi="Arial"/>
          <w:sz w:val="22"/>
          <w:szCs w:val="22"/>
        </w:rPr>
        <w:t xml:space="preserve">Audit for bias every 6 months across gender, age band, and geography</w:t>
      </w:r>
    </w:p>
    <w:p>
      <w:pPr>
        <w:pStyle w:val="ListParagraph"/>
        <w:numPr>
          <w:ilvl w:val="0"/>
          <w:numId w:val="2"/>
        </w:numPr>
        <w:spacing w:before="40" w:after="40"/>
      </w:pPr>
      <w:r>
        <w:rPr>
          <w:rFonts w:ascii="Arial" w:cs="Arial" w:eastAsia="Arial" w:hAnsi="Arial"/>
          <w:sz w:val="22"/>
          <w:szCs w:val="22"/>
        </w:rPr>
        <w:t xml:space="preserve">Exclude protected attributes as direct model inputs; audit for proxy features (department, job family) acting as demographic proxies</w:t>
      </w:r>
    </w:p>
    <w:p>
      <w:pPr>
        <w:pStyle w:val="ListParagraph"/>
        <w:numPr>
          <w:ilvl w:val="0"/>
          <w:numId w:val="2"/>
        </w:numPr>
        <w:spacing w:before="40" w:after="40"/>
      </w:pPr>
      <w:r>
        <w:rPr>
          <w:rFonts w:ascii="Arial" w:cs="Arial" w:eastAsia="Arial" w:hAnsi="Arial"/>
          <w:sz w:val="22"/>
          <w:szCs w:val="22"/>
        </w:rPr>
        <w:t xml:space="preserve">Maintain a model card documenting features, training data, known limitations, and bias audit results</w:t>
      </w:r>
    </w:p>
    <w:p>
      <w:pPr>
        <w:pStyle w:val="ListParagraph"/>
        <w:numPr>
          <w:ilvl w:val="0"/>
          <w:numId w:val="2"/>
        </w:numPr>
        <w:spacing w:before="40" w:after="40"/>
      </w:pPr>
      <w:r>
        <w:rPr>
          <w:rFonts w:ascii="Arial" w:cs="Arial" w:eastAsia="Arial" w:hAnsi="Arial"/>
          <w:sz w:val="22"/>
          <w:szCs w:val="22"/>
        </w:rPr>
        <w:t xml:space="preserve">Schedule full model reassessment every 6 months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8.4 Retraining triggers</w:t>
      </w:r>
    </w:p>
    <w:p>
      <w:pPr>
        <w:pStyle w:val="ListParagraph"/>
        <w:numPr>
          <w:ilvl w:val="0"/>
          <w:numId w:val="2"/>
        </w:numPr>
        <w:spacing w:before="40" w:after="40"/>
      </w:pPr>
      <w:r>
        <w:rPr>
          <w:rFonts w:ascii="Arial" w:cs="Arial" w:eastAsia="Arial" w:hAnsi="Arial"/>
          <w:sz w:val="22"/>
          <w:szCs w:val="22"/>
        </w:rPr>
        <w:t xml:space="preserve">Scheduled: full retrain every quarter</w:t>
      </w:r>
    </w:p>
    <w:p>
      <w:pPr>
        <w:pStyle w:val="ListParagraph"/>
        <w:numPr>
          <w:ilvl w:val="0"/>
          <w:numId w:val="2"/>
        </w:numPr>
        <w:spacing w:before="40" w:after="40"/>
      </w:pPr>
      <w:r>
        <w:rPr>
          <w:rFonts w:ascii="Arial" w:cs="Arial" w:eastAsia="Arial" w:hAnsi="Arial"/>
          <w:sz w:val="22"/>
          <w:szCs w:val="22"/>
        </w:rPr>
        <w:t xml:space="preserve">Event-driven: retrain immediately after any significant org restructuring, RIF, or major compensation cycle</w:t>
      </w:r>
    </w:p>
    <w:p>
      <w:pPr>
        <w:pStyle w:val="ListParagraph"/>
        <w:numPr>
          <w:ilvl w:val="0"/>
          <w:numId w:val="2"/>
        </w:numPr>
        <w:spacing w:before="40" w:after="40"/>
      </w:pPr>
      <w:r>
        <w:rPr>
          <w:rFonts w:ascii="Arial" w:cs="Arial" w:eastAsia="Arial" w:hAnsi="Arial"/>
          <w:sz w:val="22"/>
          <w:szCs w:val="22"/>
        </w:rPr>
        <w:t xml:space="preserve">Drift-triggered: retrain if AUC-ROC on the latest month drops more than 0.05 from baseline</w:t>
      </w:r>
    </w:p>
    <w:p>
      <w:pPr>
        <w:spacing w:before="120" w:after="0"/>
      </w:pPr>
      <w:r>
        <w:t xml:space="preserve"/>
      </w:r>
    </w:p>
    <w:p>
      <w:pPr>
        <w:pBdr>
          <w:bottom w:val="single" w:color="2E75B6" w:sz="4" w:space="1"/>
        </w:pBdr>
        <w:spacing w:before="120" w:after="120"/>
      </w:pPr>
      <w:r>
        <w:t xml:space="preserve"/>
      </w:r>
    </w:p>
    <w:p>
      <w:pPr>
        <w:spacing w:before="120" w:after="60"/>
      </w:pPr>
      <w:r>
        <w:rPr>
          <w:rFonts w:ascii="Arial" w:cs="Arial" w:eastAsia="Arial" w:hAnsi="Arial"/>
          <w:b/>
          <w:bCs/>
          <w:color w:val="1F3864"/>
          <w:sz w:val="24"/>
          <w:szCs w:val="24"/>
        </w:rPr>
        <w:t xml:space="preserve">Recommended Production Stack —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Component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Choice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Primary algorithm</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XGBoost with scale_pos_weight</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Best balance of performance, interpretability, and community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Interpretability 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Logistic Regression (L2)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Explainable coefficients for executive storytelling</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Strategic companion</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Cox PH survival analysis</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Headcount forecasting and tenure cohort curves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Imbalance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Class weighting first; SMOTE if needed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Cleaner pipeline, lower leakage risk</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Explainability</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SHAP (global + local)</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Non-negotiable for HR deployment and governance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Temporal split: 2022–23 train / 2024 val / 2025–26 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data leakage; mirrors real deployment conditions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Primary metric</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AUC-PR + Recall @ top decile</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Business-aligned, appropriate for imbalanced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Retraining cadence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Quarterly retrain, monthly scoring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Balances model freshness with stability</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2C3E50"/>
                <w:sz w:val="20"/>
                <w:szCs w:val="20"/>
              </w:rPr>
              <w:t xml:space="preserve">Governance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HRBP-only access; risk bands; bias audit every 6 months</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0"/>
                <w:szCs w:val="20"/>
              </w:rPr>
              <w:t xml:space="preserve">Ethical deployment at BlackRock scale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pPr>
    <w:r>
      <w:rPr>
        <w:rFonts w:ascii="Arial" w:cs="Arial" w:eastAsia="Arial" w:hAnsi="Arial"/>
        <w:color w:val="999999"/>
        <w:sz w:val="18"/>
        <w:szCs w:val="18"/>
      </w:rPr>
      <w:t xml:space="preserve">Confidential  |  People Analytics</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BlackRock People Analytics  |  Voluntary Attrition Model  |  Model Selection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2026-03-26T21:49:27.583Z</dcterms:created>
  <dcterms:modified xsi:type="dcterms:W3CDTF">2026-03-26T21:49:27.583Z</dcterms:modified>
</cp:coreProperties>
</file>

<file path=docProps/custom.xml><?xml version="1.0" encoding="utf-8"?>
<Properties xmlns="http://schemas.openxmlformats.org/officeDocument/2006/custom-properties" xmlns:vt="http://schemas.openxmlformats.org/officeDocument/2006/docPropsVTypes"/>
</file>