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transferring the legal consequence of non-engagement to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entirely on 31 October 2023 (Digitaliseringsstyrelsen 2025a). That pairing is the policy's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 the return that warranted making the system compulsory for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could build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in 2004, so its −67.2% spans a different window and the three changes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 14 percentage points, to under two-fifths of its 2017 share — while card-based mobile wallets reached 32% of that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on 1 July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 Eurostat 2025c).</w:t>
      </w:r>
    </w:p>
    <w:p>
      <w:pPr>
        <w:spacing w:before="0" w:after="120"/>
        <w:jc w:val="both"/>
      </w:pPr>
      <w:r>
        <w:rPr>
          <w:rFonts w:ascii="Times New Roman" w:hAnsi="Times New Roman"/>
          <w:b w:val="0"/>
          <w:i w:val="0"/>
          <w:sz w:val="24"/>
        </w:rPr>
        <w:t>Appendix C reports the diagnostics; three matter here. An earlier version of this figure drew its adoption values from a Eurostat news release (Eurostat 2025a) naming only the distribution's ends, where the fit was R² 0.853 against 0.674 here while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 but by less than one residual standard error, and behind three other member states. It is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 the full ranking is Appendix E. Enterprise breadth is not. Only 38.78% of Danish enterprises make any e-sales at all — second-highest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Among firms that do sell online, e-sales rose from 17.05% of enterprise turnover in 2014 to 33.31% in 2024, while the EU-27 average rose from 16.43% to 19.49% (Figure 4). Denmark and the Union began the decade level; Denmark roughly doubled and the EU gained three percentage points.</w:t>
      </w:r>
    </w:p>
    <w:p>
      <w:pPr>
        <w:spacing w:before="0" w:after="120"/>
        <w:jc w:val="both"/>
      </w:pPr>
      <w:r>
        <w:rPr>
          <w:rFonts w:ascii="Times New Roman" w:hAnsi="Times New Roman"/>
          <w:b w:val="0"/>
          <w:i w:val="0"/>
          <w:sz w:val="24"/>
        </w:rPr>
        <w:t>The same pattern governs the newest technology, and it identifies who could build on the rail. In 2025, 42.03% of Danish enterprises used artificial intelligence — but 74.52% of large firms against 40.99% of small and medium-sized ones, a gap of 33.53 percentage points (Figure 5; European Commission 2026). This is not a connectivity or literacy failure: 92.45% of Danish SMEs clear the basic digital-intensity threshold, against an EU average of 71.39%. What Danish SMEs lack is the complementary capital — data, integration, specialist staff — that turns access into application. A rail lowers the fixed cost of building on it but supplies none of the capability to build, and that capability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The country with Europe's most compulsory digital government delivers slightly below-average services through it.</w:t>
      </w:r>
    </w:p>
    <w:p>
      <w:pPr>
        <w:spacing w:before="0" w:after="120"/>
        <w:jc w:val="both"/>
      </w:pPr>
      <w:r>
        <w:rPr>
          <w:rFonts w:ascii="Times New Roman" w:hAnsi="Times New Roman"/>
          <w:b w:val="0"/>
          <w:i w:val="0"/>
          <w:sz w:val="24"/>
        </w:rPr>
        <w:t>That diagnosis is precisely Sustainable Development Goal 8, Target 8.2 — productivity growth through technological upgrading and innovation.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aged 85 and over, 33% do (Digitaliseringsstyrelsen 2026). One in three of the oldest cohort sits legally outside a system the state made compulsory. These are 2022 figures and the headline rate below is from 2026, so they are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The aggregate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strictly comparable — measure, year and denominator all differ, and Appendix D reconciles them on a common footing. Read it as a ladder, not a series. Some 6.5% of Danes do not use digital public services at all and 16.5% report difficulty using them (European Commission 2026); the widest estimates reach a quarter of adults (Digitaliseringsstyrelsen 2025c), (Justitia 2022). The counts are clearer than the percentages: exemption reaches 238,479 people, while 16.5% of a population of 6.03 million (Danmarks Statistik 2026) is roughly 994,000 —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for that band. Denmark leads the EU in all three age bands, and its internal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were meant to relieve.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cross-government study intended to settle it was abandoned when the municipalities declined to take part (Rigsrevisionen 2016). Denmark compels its adult population onto a business case that remains 55% unaudited.</w:t>
      </w:r>
    </w:p>
    <w:p>
      <w:pPr>
        <w:spacing w:before="0" w:after="120"/>
        <w:jc w:val="both"/>
      </w:pPr>
      <w:r>
        <w:rPr>
          <w:rFonts w:ascii="Times New Roman" w:hAnsi="Times New Roman"/>
          <w:b w:val="0"/>
          <w:i w:val="0"/>
          <w:sz w:val="24"/>
        </w:rPr>
        <w:t>Two specific measures follow. First, the exemption criteria in *Lov om Offentlig Digital Post* should be widened from the present statutory categories to admit documented difficulty, with assisted access at municipal citizen service centres as the default alternative. Section 4 showed the gap is administrative: relief was drawn narrower than the difficulty, and the criteria are what the state can change.</w:t>
      </w:r>
    </w:p>
    <w:p>
      <w:pPr>
        <w:spacing w:before="0" w:after="120"/>
        <w:jc w:val="both"/>
      </w:pPr>
      <w:r>
        <w:rPr>
          <w:rFonts w:ascii="Times New Roman" w:hAnsi="Times New Roman"/>
          <w:b w:val="0"/>
          <w:i w:val="0"/>
          <w:sz w:val="24"/>
        </w:rPr>
        <w:t>Second, SMV:Digital should be redirected from adoption toward complementary capability — data integration and specialist skills, which Section 3 identified as the binding constraint — and its next grant pool, opening 26 October 2026 (SMV:Digital 2026), should allocate by lottery among eligible applicants. The scheme reports that 65% of participants invested further (Figure 8; Digitaliseringsstyrelsen 2025b), but that is self-reported and has no control group, so it measures participation, not effect. An oversubscribed pool yields a control group at no cost.</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with the data and the AI-use declaration in Appendices A to C — the cross-section in Section 2 has eighteen observations and establishes association, not cause.</w:t>
      </w:r>
    </w:p>
    <w:p>
      <w:pPr>
        <w:spacing w:before="160" w:after="40"/>
        <w:jc w:val="center"/>
      </w:pPr>
      <w:r>
        <w:drawing>
          <wp:inline xmlns:a="http://schemas.openxmlformats.org/drawingml/2006/main" xmlns:pic="http://schemas.openxmlformats.org/drawingml/2006/picture">
            <wp:extent cx="5760000" cy="3164796"/>
            <wp:docPr id="8" name="Picture 8"/>
            <wp:cNvGraphicFramePr>
              <a:graphicFrameLocks noChangeAspect="1"/>
            </wp:cNvGraphicFramePr>
            <a:graphic>
              <a:graphicData uri="http://schemas.openxmlformats.org/drawingml/2006/picture">
                <pic:pic>
                  <pic:nvPicPr>
                    <pic:cNvPr id="0" name="fig8_smvdigital.png"/>
                    <pic:cNvPicPr/>
                  </pic:nvPicPr>
                  <pic:blipFill>
                    <a:blip r:embed="rId17"/>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8 - SMV:Digital participation: self-reported, no control group. Workbook F8.</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three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23 sources in `03_SOURCES`</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1,610-check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Three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fourth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three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9" name="Picture 9"/>
            <wp:cNvGraphicFramePr>
              <a:graphicFrameLocks noChangeAspect="1"/>
            </wp:cNvGraphicFramePr>
            <a:graphic>
              <a:graphicData uri="http://schemas.openxmlformats.org/drawingml/2006/picture">
                <pic:pic>
                  <pic:nvPicPr>
                    <pic:cNvPr id="0" name="figA_c1_residuals.png"/>
                    <pic:cNvPicPr/>
                  </pic:nvPicPr>
                  <pic:blipFill>
                    <a:blip r:embed="rId18"/>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10" name="Picture 10"/>
            <wp:cNvGraphicFramePr>
              <a:graphicFrameLocks noChangeAspect="1"/>
            </wp:cNvGraphicFramePr>
            <a:graphic>
              <a:graphicData uri="http://schemas.openxmlformats.org/drawingml/2006/picture">
                <pic:pic>
                  <pic:nvPicPr>
                    <pic:cNvPr id="0" name="figA_c2_jackknife.png"/>
                    <pic:cNvPicPr/>
                  </pic:nvPicPr>
                  <pic:blipFill>
                    <a:blip r:embed="rId19"/>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1" name="Picture 11"/>
            <wp:cNvGraphicFramePr>
              <a:graphicFrameLocks noChangeAspect="1"/>
            </wp:cNvGraphicFramePr>
            <a:graphic>
              <a:graphicData uri="http://schemas.openxmlformats.org/drawingml/2006/picture">
                <pic:pic>
                  <pic:nvPicPr>
                    <pic:cNvPr id="0" name="figA_c3_tailselection.png"/>
                    <pic:cNvPicPr/>
                  </pic:nvPicPr>
                  <pic:blipFill>
                    <a:blip r:embed="rId20"/>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2025c</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2" name="Picture 12"/>
            <wp:cNvGraphicFramePr>
              <a:graphicFrameLocks noChangeAspect="1"/>
            </wp:cNvGraphicFramePr>
            <a:graphic>
              <a:graphicData uri="http://schemas.openxmlformats.org/drawingml/2006/picture">
                <pic:pic>
                  <pic:nvPicPr>
                    <pic:cNvPr id="0" name="figA_d1_denominators.png"/>
                    <pic:cNvPicPr/>
                  </pic:nvPicPr>
                  <pic:blipFill>
                    <a:blip r:embed="rId21"/>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160" w:after="40"/>
        <w:jc w:val="center"/>
      </w:pPr>
      <w:r>
        <w:drawing>
          <wp:inline xmlns:a="http://schemas.openxmlformats.org/drawingml/2006/main" xmlns:pic="http://schemas.openxmlformats.org/drawingml/2006/picture">
            <wp:extent cx="5760000" cy="4697795"/>
            <wp:docPr id="13" name="Picture 13"/>
            <wp:cNvGraphicFramePr>
              <a:graphicFrameLocks noChangeAspect="1"/>
            </wp:cNvGraphicFramePr>
            <a:graphic>
              <a:graphicData uri="http://schemas.openxmlformats.org/drawingml/2006/picture">
                <pic:pic>
                  <pic:nvPicPr>
                    <pic:cNvPr id="0" name="figA_e1_eu27.png"/>
                    <pic:cNvPicPr/>
                  </pic:nvPicPr>
                  <pic:blipFill>
                    <a:blip r:embed="rId22"/>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4" name="Picture 14"/>
            <wp:cNvGraphicFramePr>
              <a:graphicFrameLocks noChangeAspect="1"/>
            </wp:cNvGraphicFramePr>
            <a:graphic>
              <a:graphicData uri="http://schemas.openxmlformats.org/drawingml/2006/picture">
                <pic:pic>
                  <pic:nvPicPr>
                    <pic:cNvPr id="0" name="figA_e2_payments.png"/>
                    <pic:cNvPicPr/>
                  </pic:nvPicPr>
                  <pic:blipFill>
                    <a:blip r:embed="rId23"/>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