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but thin among firms and at the edges of the population, and legal compulsion, the instrument that delivered the universal part,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Denmark's digital transformation began with an obligation rather than an invitation, and that origin explains its speed and its shape.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Alongside it the state issued a universal electronic credential, whose dates Table 1 records.</w:t>
      </w:r>
    </w:p>
    <w:p>
      <w:pPr>
        <w:spacing w:before="0" w:after="120"/>
        <w:jc w:val="both"/>
      </w:pPr>
      <w:r>
        <w:rPr>
          <w:rFonts w:ascii="Times New Roman" w:hAnsi="Times New Roman"/>
          <w:b w:val="0"/>
          <w:i w:val="0"/>
          <w:sz w:val="24"/>
        </w:rPr>
        <w:t>What distinguishes the Danish case is the combination of the two. A mandate alone changes only how letters are sent, whereas a mandate joined to a universal credential creates authentication infrastructure that every citizen must hold and any firm may build upon without financing its adoption, lowering the fixed cost of everything built on top of it. As an adoption instrument it worked: Eurostat (2026a) records that 98.5% of Danish individuals aged 16 to 74 used a public authority website or app during 2024, the highest share in the Union against an EU-27 average of 70%. Because compulsion rather than preference accounts for that use, the economic interest lies not in the adoption itself but in what industry built on that foundation, as the following two sectors show.</w:t>
      </w:r>
    </w:p>
    <w:p>
      <w:pPr>
        <w:spacing w:before="0" w:after="120"/>
        <w:jc w:val="both"/>
      </w:pPr>
      <w:r>
        <w:rPr>
          <w:rFonts w:ascii="Times New Roman" w:hAnsi="Times New Roman"/>
          <w:b w:val="0"/>
          <w:i w:val="0"/>
          <w:sz w:val="24"/>
        </w:rPr>
        <w:t>In retail banking the outcome was consolidation rather than contraction. Finans Danmark (2025) reports that branches fell from 2,025 in 2004 to 665 in 2024, a decline of 67% (Figure 1), which taken alone suggests that digitalisation destroyed banking employment. The longer series qualifies that reading, however, because between 1991 and 2024 institutions fell by 77% while employment fell by only 29% (Figure 2), so that staff per surviving institution rose from 233 to 706. The technologies behind this are online and mobile banking authenticated by MitID. Once identity and correspondence had moved onto shared national infrastructure, the branch ceased to be the distribution channel and the sector shed premises rather than labour.</w:t>
      </w:r>
    </w:p>
    <w:p>
      <w:pPr>
        <w:spacing w:before="0" w:after="120"/>
        <w:jc w:val="both"/>
      </w:pPr>
      <w:r>
        <w:rPr>
          <w:rFonts w:ascii="Times New Roman" w:hAnsi="Times New Roman"/>
          <w:b w:val="0"/>
          <w:i w:val="0"/>
          <w:sz w:val="24"/>
        </w:rPr>
        <w:t>Retail payments show innovation of a different kind. Danmarks Nationalbank (2025) reports that cash fell from 23% to 9% of the number of payments made in physical retail between 2017 and 2025, while card-based mobile wallets reached 32% of the same measure (Figure 3). Much of this is displacement within digital instruments rather than fresh digitalisation, since a wallet payment is itself a card payment and the physical card share fell from 73% to 54%. What changed was the interface rather than the rails beneath it, the kind of incremental innovation that shared infrastructure makes cheap to attempt.</w:t>
      </w:r>
    </w:p>
    <w:p>
      <w:pPr>
        <w:spacing w:before="0" w:after="120"/>
        <w:jc w:val="both"/>
      </w:pPr>
      <w:r>
        <w:rPr>
          <w:rFonts w:ascii="Times New Roman" w:hAnsi="Times New Roman"/>
          <w:b w:val="0"/>
          <w:i w:val="0"/>
          <w:sz w:val="24"/>
        </w:rPr>
        <w:t>Whether wider adoption is associated with greater commercial activity can in turn be tested. Using Eurostat (2026b), Figure 4 plots the share of internet users purchasing online against e-sales as a share of enterprise turnover across the Union in 2024, turnover coming from a separate extract (Eurostat 2025c). Across the 18 member states reporting both, the fitted slope is +0.60 percentage points of turnover per percentage point of adoption, with an R² of 0.674 and diagnostics in Appendix A. Causation is not established, since adoption is measured on consumers and turnover on enterprises while national income appears on neither axis. Denmark sits above the line by less than one residual standard error, within the European pattern rather than outside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Denmark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2023</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The three series begin in different years and must never be differenced.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val="0"/>
          <w:i w:val="0"/>
          <w:sz w:val="24"/>
        </w:rPr>
        <w:t>Denmark's difficulty is not getting technology to its firms but getting value out of it once it arrives, and both policies compared below address that gap. Its citizens rank first in the Union on e-government use, yet its firms rank second on e-sales while only 39% make any, behind Lithuania at 43% (Eurostat 2025b): a high rank on a low level is the problem rather than the achievement.</w:t>
      </w:r>
    </w:p>
    <w:p>
      <w:pPr>
        <w:spacing w:before="0" w:after="120"/>
        <w:jc w:val="both"/>
      </w:pPr>
      <w:r>
        <w:rPr>
          <w:rFonts w:ascii="Times New Roman" w:hAnsi="Times New Roman"/>
          <w:b w:val="0"/>
          <w:i w:val="0"/>
          <w:sz w:val="24"/>
        </w:rPr>
        <w:t>Intensity has risen where breadth has not, since e-sales grew from 17% of enterprise turnover in 2014 to 33% in 2024 against an EU-27 average moving from 16% to 19% (Figure 5): the firms that do sell online depend on it heavily, while the majority do not sell online at all. The newest technology divides along the same line, for the European Commission (2026) reports that 42% of Danish enterprises used artificial intelligence in 2025, comprising 75% of large firms against 41% of small and medium ones (Figure 6). This is not a connectivity failure, since 92% of Danish SMEs clear the basic digital-intensity threshold against an EU average of 71%. What they lack is the complementary capital, namely data, systems integration and specialist staff, that converts access into application.</w:t>
      </w:r>
    </w:p>
    <w:p>
      <w:pPr>
        <w:spacing w:before="0" w:after="120"/>
        <w:jc w:val="both"/>
      </w:pPr>
      <w:r>
        <w:rPr>
          <w:rFonts w:ascii="Times New Roman" w:hAnsi="Times New Roman"/>
          <w:b w:val="0"/>
          <w:i w:val="0"/>
          <w:sz w:val="24"/>
        </w:rPr>
        <w:t xml:space="preserve">Denmark's SMV:Digital and Germany's </w:t>
      </w:r>
      <w:r>
        <w:rPr>
          <w:rFonts w:ascii="Times New Roman" w:hAnsi="Times New Roman"/>
          <w:b w:val="0"/>
          <w:i/>
          <w:sz w:val="24"/>
        </w:rPr>
        <w:t>Digital Jetzt</w:t>
      </w:r>
      <w:r>
        <w:rPr>
          <w:rFonts w:ascii="Times New Roman" w:hAnsi="Times New Roman"/>
          <w:b w:val="0"/>
          <w:i w:val="0"/>
          <w:sz w:val="24"/>
        </w:rPr>
        <w:t xml:space="preserve"> were built for this purpose, both being co-financed grants aimed at small and medium enterprises that would not otherwise invest. They differ chiefly in how they choose recipients: SMV:Digital scores applications and funds the highest scorers until the pool is exhausted (SMV:Digital 2026), whereas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since Digitaliseringsstyrelsen (2025b) links recipients to Danmarks Statistik registers and compares them with matched controls, reporting revenue growth of 18% against 13% and employment growth of 8% against 4%. No comparable estimate is published for </w:t>
      </w:r>
      <w:r>
        <w:rPr>
          <w:rFonts w:ascii="Times New Roman" w:hAnsi="Times New Roman"/>
          <w:b w:val="0"/>
          <w:i/>
          <w:sz w:val="24"/>
        </w:rPr>
        <w:t>Digital Jetzt</w:t>
      </w:r>
      <w:r>
        <w:rPr>
          <w:rFonts w:ascii="Times New Roman" w:hAnsi="Times New Roman"/>
          <w:b w:val="0"/>
          <w:i w:val="0"/>
          <w:sz w:val="24"/>
        </w:rPr>
        <w:t>, whose allocation rule moreover drew an objection Denmark's does not face. The Bundesrechnungshof (2022) criticised awarding funding by lottery rather than on criteria, warned that firms would postpone investment while awaiting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w:t>
      </w:r>
      <w:r>
        <w:rPr>
          <w:rFonts w:ascii="Times New Roman" w:hAnsi="Times New Roman"/>
          <w:b w:val="0"/>
          <w:i w:val="0"/>
          <w:sz w:val="24"/>
        </w:rPr>
        <w:t xml:space="preserve"> Denmark's advantage is nevertheless narrower than it appears, because matching addresses selection on what the registers record, namely sector, size, age and prior trajectory, and not on what they do not. Selection into a voluntary scheme runs on managerial ambition and the slack to write an application, traits that independently produce revenue growth, so the matched estimate retains an upward bias of unknown size. Neither scheme reaches the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The remedy is latent in the Danish design, since SMV:Digital already scores its applicants and so already produces a funding threshold, which it then discards. Near that cut-off, funding turns on assessor variation rather than on the firm, which makes applicants just above and below comparable on precisely the unobservables that defeat matching. Retaining the scores and publishing the cut-off would therefore permit a regression discontinuity estimate at administrative cost alone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at once, since digital infrastructure substitutes information for materials at the point of use while creating a new material stream at disposal. Denmark is unusually far along the first and far behind on the second.</w:t>
      </w:r>
    </w:p>
    <w:p>
      <w:pPr>
        <w:spacing w:before="0" w:after="120"/>
        <w:jc w:val="both"/>
      </w:pPr>
      <w:r>
        <w:rPr>
          <w:rFonts w:ascii="Times New Roman" w:hAnsi="Times New Roman"/>
          <w:b w:val="0"/>
          <w:i w:val="0"/>
          <w:sz w:val="24"/>
        </w:rPr>
        <w:t>The positive contribution is a dematerialisation benefit, and unusually it has been audited: Rigsrevisionen (2016) could verify roughly DKK 450 million a year of the saving projected from compulsory Digital Post, the verified component being precisely postage, paper and envelopes. That prices the paper avoided rather than weighing it, but the substitution covers correspondence with every adult in the country. Private payments substitute in the same way, Danmarks Nationalbank (2025) reporting that cash fell from 23% to 9% of physical retail payments between 2017 and 2025: a share rather than a volume, which establishes direction without quantity.</w:t>
      </w:r>
    </w:p>
    <w:p>
      <w:pPr>
        <w:spacing w:before="0" w:after="120"/>
        <w:jc w:val="both"/>
      </w:pPr>
      <w:r>
        <w:rPr>
          <w:rFonts w:ascii="Times New Roman" w:hAnsi="Times New Roman"/>
          <w:b w:val="0"/>
          <w:i w:val="0"/>
          <w:sz w:val="24"/>
        </w:rPr>
        <w:t xml:space="preserve">Against this, Denmark performs the disposal side of the same goal badly, for the European Commission (2026) reports that it recycled or prepared for reuse 15% of the ICT waste collected in 2023 against an EU-27 average of 80% (Figure 7). The denominator narrows the claim, because the base is ICT waste </w:t>
      </w:r>
      <w:r>
        <w:rPr>
          <w:rFonts w:ascii="Times New Roman" w:hAnsi="Times New Roman"/>
          <w:b w:val="0"/>
          <w:i/>
          <w:sz w:val="24"/>
        </w:rPr>
        <w:t>collected</w:t>
      </w:r>
      <w:r>
        <w:rPr>
          <w:rFonts w:ascii="Times New Roman" w:hAnsi="Times New Roman"/>
          <w:b w:val="0"/>
          <w:i w:val="0"/>
          <w:sz w:val="24"/>
        </w:rPr>
        <w:t>: the indicator describes what happens to devices reaching the waste stream, while remaining silent on how many never do. Nor does any trend accompany it, the source publishing a single year, which makes 15% a level and not a direction. On the measure that exists, a country at or near the top of the Union on almost every digital indicator sits near the bottom on this one.</w:t>
      </w:r>
    </w:p>
    <w:p>
      <w:pPr>
        <w:spacing w:before="0" w:after="120"/>
        <w:jc w:val="both"/>
      </w:pPr>
      <w:r>
        <w:rPr>
          <w:rFonts w:ascii="Times New Roman" w:hAnsi="Times New Roman"/>
          <w:b w:val="0"/>
          <w:i w:val="0"/>
          <w:sz w:val="24"/>
        </w:rPr>
        <w:t>The two halves are connected by the same policy, which makes the contrast more than coincidence: a mandate requiring every adult to transact digitally also requires every adult to hold a device capable of running MitID, and that obligation was justified on an administrative saving alone. The environmental case for Danish digitalisation has accordingly been made on dematerialisation, while the circularity side of the same goal is where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val="0"/>
          <w:i w:val="0"/>
          <w:sz w:val="24"/>
        </w:rPr>
        <w:t>A mandate binding every adult falls most heavily on those least able to comply, whose only relief is statutory exemption from Digital Post. The scale of that relief among the oldest citizens therefore indicates the difficulty: Digitaliseringsstyrelsen (2026) reports that nearly one citizen in five aged 75 to 84 holds a formal exemption, rising to roughly one in three among those 85 and over.</w:t>
      </w:r>
    </w:p>
    <w:p>
      <w:pPr>
        <w:spacing w:before="0" w:after="120"/>
        <w:jc w:val="both"/>
      </w:pPr>
      <w:r>
        <w:rPr>
          <w:rFonts w:ascii="Times New Roman" w:hAnsi="Times New Roman"/>
          <w:b w:val="0"/>
          <w:i w:val="0"/>
          <w:sz w:val="24"/>
        </w:rPr>
        <w:t>The measure on which Denmark ranks first is the one least able to detect this, since Eurostat (2026a) puts Danish e-government use at 98.5% while the survey asks only whether a person interacted online at all, once, in twelve months. It records reach, and says nothing about whether the attempt succeeded or was made independently (Figure 8).</w:t>
      </w:r>
    </w:p>
    <w:p>
      <w:pPr>
        <w:spacing w:before="0" w:after="120"/>
        <w:jc w:val="both"/>
      </w:pPr>
      <w:r>
        <w:rPr>
          <w:rFonts w:ascii="Times New Roman" w:hAnsi="Times New Roman"/>
          <w:b w:val="0"/>
          <w:i w:val="0"/>
          <w:sz w:val="24"/>
        </w:rPr>
        <w:t>Measuring the problem rather than the reach means choosing between estimates that do not agree, the narrowest being exemption itself: in the first quarter of 2026, 4.7% of citizens aged 15 and over, or 238,479 people, held one. The European Commission (2026) reports that 16.5% of Danes have difficulty using digital public services, while Digitaliseringsstyrelsen (2025c) and Justitia (2022) put the widest estimates near a quarter of adults. These are not points on a scale, since measure, year and denominator differ; Figure 9 sets them side by side and Appendix C reconciles them. Because the counts are clearer than the percentages, the conversion is worth making: against a population of 6,025,603 (Danmarks Statistik 2026), 16.5% is roughly 994,000 people to 238,479 exempt, meaning that some three-quarters of a million Danes struggle with a compulsory system while holding no standing outside it.</w:t>
      </w:r>
    </w:p>
    <w:p>
      <w:pPr>
        <w:spacing w:before="0" w:after="120"/>
        <w:jc w:val="both"/>
      </w:pPr>
      <w:r>
        <w:rPr>
          <w:rFonts w:ascii="Times New Roman" w:hAnsi="Times New Roman"/>
          <w:b w:val="0"/>
          <w:i w:val="0"/>
          <w:sz w:val="24"/>
        </w:rPr>
        <w:t>That gap is administrative rather than a skills deficit, as the skills data make clear: Denmark's weakest age band, those aged 55 to 74, reaches 68% with at least basic digital skills against an EU average of 43%, and Denmark leads the Union in all three bands (Figure 10). The mandate is therefore calibrated above the bottom of its own distribution, and the exemption criteria are drawn more narrowly than the difficulty they relieve.</w:t>
      </w:r>
    </w:p>
    <w:p>
      <w:pPr>
        <w:spacing w:before="0" w:after="120"/>
        <w:jc w:val="both"/>
      </w:pPr>
      <w:r>
        <w:rPr>
          <w:rFonts w:ascii="Times New Roman" w:hAnsi="Times New Roman"/>
          <w:b w:val="0"/>
          <w:i w:val="0"/>
          <w:sz w:val="24"/>
        </w:rPr>
        <w:t>The criteria should accordingly be widened to admit documented difficulty rather than the listed statutory grounds alone, and Denmark has solved the adjacent problem already.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equivalent entitlement to the difficulty itself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F12_REACH.</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so the connection to Denmark was not the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being high by European standards at 42% of enterprises yet concentrated at 75% of large firms against 41% of small and medium ones. Access has been distributed and capability has not, which is the conclusion Question 2 reaches from Danish registers and the speaker from a regional survey.</w:t>
      </w:r>
    </w:p>
    <w:p>
      <w:pPr>
        <w:spacing w:before="0" w:after="120"/>
        <w:jc w:val="both"/>
      </w:pPr>
      <w:r>
        <w:rPr>
          <w:rFonts w:ascii="Times New Roman" w:hAnsi="Times New Roman"/>
          <w:b w:val="0"/>
          <w:i w:val="0"/>
          <w:sz w:val="24"/>
        </w:rPr>
        <w:t>The sustainability half supplied a test for that kind of claim. Tran's position was that a net zero commitment means little unless an external body has validated it, because an unvalidated commitment is one the claimant grades itself; PwC's own reduction of 22% is stated against a target the Science Based Targets initiative validated. Applied to Denmark, that standard is uncomfortable, since SMV:Digital's headline figures are reported by participants to the body funding the scheme (Digitaliseringsstyrelsen 2025b), which is why Question 2 recommends an evaluation the agency does not run. Question 3 meets the standard from the other side, Denmark's position on ICT waste recovery being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validation at USD 10,000 to 25,000, which in practice restricts it to large corporations, and described public programmes extending that capability to smaller firms. That is the same instrument, and the same justification, as SMV:Digital, since the fixed cost of proving anything, emissions or returns, weighs the more heavily on the smaller firm.</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2023, NemID is about to be closed, MitID, Agency for Digital Government, Copenhagen, accessed 14 September 2026, &lt;https://www.mitid.dk/en-gb/about-mitid/news/nemid-is-about-to-be-closed/&gt;.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E-government activities of individuals via websites, dataset isoc_ciegi_ac, Statistical Office of the European Union,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2026b,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2026b)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