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to adopt digital public services; it required them to do so. *Lov om Offentlig Digital Post*, enacted in 2012 (2012), established a state-run digital mailbox as the default legal channel for public correspondence, binding businesses from 2013 and every citizen aged 15 and over from 1 November 2014. Enrolment is automatic, and §10 deems delivery effective when a message becomes available rather than when it is read, placing the consequence of non-engagement on the recipient. Exemption is available only against statutory criteria, set out in Table 1.</w:t>
      </w:r>
    </w:p>
    <w:p>
      <w:pPr>
        <w:spacing w:before="0" w:after="120"/>
        <w:jc w:val="both"/>
      </w:pPr>
      <w:r>
        <w:rPr>
          <w:rFonts w:ascii="Times New Roman" w:hAnsi="Times New Roman"/>
          <w:b w:val="0"/>
          <w:i w:val="0"/>
          <w:sz w:val="24"/>
        </w:rPr>
        <w:t>The mandate was implemented alongside a single national identity credential. Digitaliseringsstyrelsen (2025a) records that NemID was replaced by MitID from October 2021 and withdrawn on 31 October 2023. The combination is central to the design. A mandate alone changes only how letters are sent, whereas a mandate plus a universal credential establishes shared authentication infrastructure that every citizen must hold and any firm may build upon without financing its adoption. This lowers the fixed cost of services developed on it.</w:t>
      </w:r>
    </w:p>
    <w:p>
      <w:pPr>
        <w:spacing w:before="0" w:after="120"/>
        <w:jc w:val="both"/>
      </w:pPr>
      <w:r>
        <w:rPr>
          <w:rFonts w:ascii="Times New Roman" w:hAnsi="Times New Roman"/>
          <w:b w:val="0"/>
          <w:i w:val="0"/>
          <w:sz w:val="24"/>
        </w:rPr>
        <w:t>Compulsion is also why the adoption statistics below require careful interpretation: after 1 November 2014, enrolment measures compliance with a legal obligation rather than revealed demand, and that distinction governs the analysis throughout.</w:t>
      </w:r>
    </w:p>
    <w:p>
      <w:pPr>
        <w:spacing w:before="0" w:after="120"/>
        <w:jc w:val="both"/>
      </w:pPr>
      <w:r>
        <w:rPr>
          <w:rFonts w:ascii="Times New Roman" w:hAnsi="Times New Roman"/>
          <w:b w:val="0"/>
          <w:i w:val="0"/>
          <w:sz w:val="24"/>
        </w:rPr>
        <w:t>The programme was justified on a projected saving. According to Rigsrevisionen (2016), the Ministry of Finance business case anticipated approximately DKK 1,000 million a year, the return that warranted compelling the entire adult population, currently about 5.1 million people (Digitaliseringsstyrelsen 2026). Section 6 examines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The economic value of this infrastructure lies not in Danish citizens' use of it, which compulsion accounts for, but in what others built upon it and where that building stopped. Banking illustrates the magnitude of the change. Finans Danmark (2025) reports that Danish retail bank branches fell from 2,025 in 2004 to 665 in 2024, a decline of 67.2% (Figure 1). Considered alone, that might suggest digitalisation eliminated banking employment, but the longer series does not support that reading. Between 1991 and 2024 the number of financial institutions fell by 76.7%, from 219 to 51, while bank employment fell by only 29.4%, from roughly 51,000 to 36,000 (Figure 2). Staff per surviving institution therefore rose from 233 to 706, an increase of 203%, indicating that consolidation concentrated the sector rather than reducing it. The branch series begins only in 2004, so the three changes span different observation windows and must not be differenced.</w:t>
      </w:r>
    </w:p>
    <w:p>
      <w:pPr>
        <w:spacing w:before="0" w:after="120"/>
        <w:jc w:val="both"/>
      </w:pPr>
      <w:r>
        <w:rPr>
          <w:rFonts w:ascii="Times New Roman" w:hAnsi="Times New Roman"/>
          <w:b w:val="0"/>
          <w:i w:val="0"/>
          <w:sz w:val="24"/>
        </w:rPr>
        <w:t>Payment behaviour moved in the same direction. Danmarks Nationalbank (2025) reports that cash fell from 23% to 9% of the *number* of payments in physical retail between 2017 and 2025, while card-based mobile wallets reached 32% of the same measure. Much of this is displacement within digital instruments, because wallet payments are card payments and the physical card share fell from 73% to 54%. What replaced cash was largely a new interface onto existing card infrastructure, the kind of development shared infrastructure makes inexpensive. Cash acceptance nonetheless remains a statutory obligation under *lov om betalinger* §81, narrowed but not removed in 2022 (Finanstilsynet 2025).</w:t>
      </w:r>
    </w:p>
    <w:p>
      <w:pPr>
        <w:spacing w:before="0" w:after="120"/>
        <w:jc w:val="both"/>
      </w:pPr>
      <w:r>
        <w:rPr>
          <w:rFonts w:ascii="Times New Roman" w:hAnsi="Times New Roman"/>
          <w:b w:val="0"/>
          <w:i w:val="0"/>
          <w:sz w:val="24"/>
        </w:rPr>
        <w:t>The question that follows is whether wider consumer adoption is associated with greater commercial activity. Using data from Eurostat (2026), Figure 3 plots the share of internet users purchasing online against enterprise e-sales turnover across the European Union in 2024, the turnover measure coming from a separate extract Eurostat 2025c. Across the 18 states reporting both, the fitted slope is +0.602 percentage points of turnover per percentage point of adoption, with a standard error of 0.105 and an R² of 0.674.</w:t>
      </w:r>
    </w:p>
    <w:p>
      <w:pPr>
        <w:spacing w:before="0" w:after="120"/>
        <w:jc w:val="both"/>
      </w:pPr>
      <w:r>
        <w:rPr>
          <w:rFonts w:ascii="Times New Roman" w:hAnsi="Times New Roman"/>
          <w:b w:val="0"/>
          <w:i w:val="0"/>
          <w:sz w:val="24"/>
        </w:rPr>
        <w:t>Appendix C reports the diagnostics, including a comparison with an earlier version drawn from a Eurostat news release (Eurostat 2025a) that named only the ends of the distribution and produced a slope 8% different, which measures selection bias rather than asserting it.</w:t>
      </w:r>
    </w:p>
    <w:p>
      <w:pPr>
        <w:spacing w:before="0" w:after="120"/>
        <w:jc w:val="both"/>
      </w:pPr>
      <w:r>
        <w:rPr>
          <w:rFonts w:ascii="Times New Roman" w:hAnsi="Times New Roman"/>
          <w:b w:val="0"/>
          <w:i w:val="0"/>
          <w:sz w:val="24"/>
        </w:rPr>
        <w:t>Causation is neither established nor establishable from this design. Adoption is measured on consumers and turnover on enterprises, and both plausibly rise with national income, which appears on neither axis. Denmark sits above the fitted line by less than one residual standard error and behind three other states, consistent with the European pattern rather than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distinct subjects in the Danish case, and they point in opposite directions. Breadth among citizens is close to complete: Eurostat (2026) records that 90.86% of Danish internet users bought online in 2024, third of the twenty-seven member states. Breadth among enterprises is not. Only 38.78% of Danish enterprises make any e-sales, second in the Union behind Lithuania at 43.03% and still under two firms in five (Eurostat 2025b). Denmark therefore leads Europe at a level most Danish firms have not reached.</w:t>
      </w:r>
    </w:p>
    <w:p>
      <w:pPr>
        <w:spacing w:before="0" w:after="120"/>
        <w:jc w:val="both"/>
      </w:pPr>
      <w:r>
        <w:rPr>
          <w:rFonts w:ascii="Times New Roman" w:hAnsi="Times New Roman"/>
          <w:b w:val="0"/>
          <w:i w:val="0"/>
          <w:sz w:val="24"/>
        </w:rPr>
        <w:t>Intensity increased where breadth did not. E-sales rose from 17.05% of enterprise turnover in 2014 to 33.31% in 2024, against an EU-27 average moving from 16.43% to 19.49% (Figure 4). Both began the decade at a similar level, after which Denmark roughly doubled and the EU gained three percentage points.</w:t>
      </w:r>
    </w:p>
    <w:p>
      <w:pPr>
        <w:spacing w:before="0" w:after="120"/>
        <w:jc w:val="both"/>
      </w:pPr>
      <w:r>
        <w:rPr>
          <w:rFonts w:ascii="Times New Roman" w:hAnsi="Times New Roman"/>
          <w:b w:val="0"/>
          <w:i w:val="0"/>
          <w:sz w:val="24"/>
        </w:rPr>
        <w:t>The same pattern governs the newest technology and identifies which firms were positioned to build on the infrastructure. The European Commission (2026) reports that in 2025, 42.03% of Danish enterprises used artificial intelligence, comprising 74.52% of large firms against 40.99% of SMEs, a gap of 33.53 percentage points (Figure 5). This is not a failure of connectivity or literacy, since 92.45% of Danish SMEs clear the basic digital-intensity threshold against an EU average of 71.39%. What they lack is the complementary capital, namely data, systems integration and specialist staff, that converts access into application, and that capital is distributed by firm size. Compulsion can mandate access but not the absorptive capacity required to convert it into commercial output.</w:t>
      </w:r>
    </w:p>
    <w:p>
      <w:pPr>
        <w:spacing w:before="0" w:after="120"/>
        <w:jc w:val="both"/>
      </w:pPr>
      <w:r>
        <w:rPr>
          <w:rFonts w:ascii="Times New Roman" w:hAnsi="Times New Roman"/>
          <w:b w:val="0"/>
          <w:i w:val="0"/>
          <w:sz w:val="24"/>
        </w:rPr>
        <w:t>This corresponds to Sustainable Development Goal 8, Target 8.2, on productivity growth through technological upgrading. Denmark's binding constraint is not adoption but diffusion, because the gain accrues to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mandate left behind</w:t>
      </w:r>
    </w:p>
    <w:p>
      <w:pPr>
        <w:spacing w:before="0" w:after="120"/>
        <w:jc w:val="both"/>
      </w:pPr>
      <w:r>
        <w:rPr>
          <w:rFonts w:ascii="Times New Roman" w:hAnsi="Times New Roman"/>
          <w:b w:val="0"/>
          <w:i w:val="0"/>
          <w:sz w:val="24"/>
        </w:rPr>
        <w:t>The mandate's effects are most pronounced among the oldest citizens. Digitaliseringsstyrelsen (2026) reports that 20% of Danish citizens aged 75 to 84 hold a formal exemption from Digital Post, rising to 33% among those 85 and over. One in three of the oldest cohort therefore sits outside a compulsory system. These are 2022 figures and the headline rate below is from 2026, so the two are complementary measures of the same exclusion rather than points on a trend.</w:t>
      </w:r>
    </w:p>
    <w:p>
      <w:pPr>
        <w:spacing w:before="0" w:after="120"/>
        <w:jc w:val="both"/>
      </w:pPr>
      <w:r>
        <w:rPr>
          <w:rFonts w:ascii="Times New Roman" w:hAnsi="Times New Roman"/>
          <w:b w:val="0"/>
          <w:i w:val="0"/>
          <w:sz w:val="24"/>
        </w:rPr>
        <w:t>Against that, the aggregate appears small: in the first quarter of 2026, 4.7% of citizens aged 15 and over, or 238,479 people, were exempt. It is small because the affected population is small, not because exclusion is rare where it occurs.</w:t>
      </w:r>
    </w:p>
    <w:p>
      <w:pPr>
        <w:spacing w:before="0" w:after="120"/>
        <w:jc w:val="both"/>
      </w:pPr>
      <w:r>
        <w:rPr>
          <w:rFonts w:ascii="Times New Roman" w:hAnsi="Times New Roman"/>
          <w:b w:val="0"/>
          <w:i w:val="0"/>
          <w:sz w:val="24"/>
        </w:rPr>
        <w:t>Exemption is also the narrowest available measure. Figure 6 sets it against four wider estimates, which are not comparable because measure, year and denominator all differ; Appendix D reconciles them. The European Commission (2026) reports that 6.5% of Danes do not use digital public services and 16.5% report difficulty using them, while Digitaliseringsstyrelsen (2025d) and Justitia (2022) put the widest estimates at about a quarter of adults. The counts are clearer than the percentages: exemption reaches 238,479 people, while 16.5% of a population of 6,025,603 (Danmarks Statistik 2026) is roughly 994,000, the lowest credible estimate of need. On the order of 750,000 Danes therefore struggle with a compulsory system while holding no formal standing outside it.</w:t>
      </w:r>
    </w:p>
    <w:p>
      <w:pPr>
        <w:spacing w:before="0" w:after="120"/>
        <w:jc w:val="both"/>
      </w:pPr>
      <w:r>
        <w:rPr>
          <w:rFonts w:ascii="Times New Roman" w:hAnsi="Times New Roman"/>
          <w:b w:val="0"/>
          <w:i w:val="0"/>
          <w:sz w:val="24"/>
        </w:rPr>
        <w:t>Weak digital skills would be the convenient explanation, but the data do not support it. Denmark's weakest age band, those aged 55 to 74, reaches 67.81% with at least basic digital skills against an EU average of 42.60%, and Denmark leads the Union in all three bands (Figure 7).</w:t>
      </w:r>
    </w:p>
    <w:p>
      <w:pPr>
        <w:spacing w:before="0" w:after="120"/>
        <w:jc w:val="both"/>
      </w:pPr>
      <w:r>
        <w:rPr>
          <w:rFonts w:ascii="Times New Roman" w:hAnsi="Times New Roman"/>
          <w:b w:val="0"/>
          <w:i w:val="0"/>
          <w:sz w:val="24"/>
        </w:rPr>
        <w:t>The exclusion is therefore administrative rather than a capability deficit. The mandate was calibrated above the bottom of its own distribution, and the exemption criteria were drawn more narrowly than the difficulty they relieve. Infrastructure that every citizen must use and a sixth of the population finds difficult is a universal obligation rather than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This report opened on a projected saving of roughly DKK 1,000 million a year. Of that, Rigsrevisionen (2016) could verify DKK 450 million in postage, paper and envelopes. The wage and overhead component was never substantiated, and the study intended to settle the question was abandoned when the municipalities declined to take part. Denmark compels its adult population on the basis of a business case that remains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has already addressed the adjacent problem, since Folketinget (2023) provided that from June 2023 an exempt citizen is entitled, on request, to a non-digital alternative to any mandatory self-service solution. That reform decoupled the channel from the obligation but left the qualifying criteria untouched, because the right runs only to those already exempt. Section 4 measured the gap: roughly three-quarters of a million people report the difficulty the 2023 Act relieves and cannot obtain it. The Conseil d'État (2022) and the Belgian Cour constitutionnelle (2025) have since attached the entitlement to the difficulty rather than to a prior status (Appendix G).</w:t>
      </w:r>
    </w:p>
    <w:p>
      <w:pPr>
        <w:spacing w:before="0" w:after="120"/>
        <w:jc w:val="both"/>
      </w:pPr>
      <w:r>
        <w:rPr>
          <w:rFonts w:ascii="Times New Roman" w:hAnsi="Times New Roman"/>
          <w:b w:val="0"/>
          <w:i w:val="0"/>
          <w:sz w:val="24"/>
        </w:rPr>
        <w:t>Second, SMV:Digital should be redirected toward complementary capability, specifically data integration and specialist skills, which Section 3 identified as the binding constraint. Its effect is better evidenced than that of most comparable programmes, since Digitaliseringsstyrelsen (2025b) matches recipients to comparable firms in the Danmarks Statistik registers and finds revenue growth five percentage points higher. Matching, however, addresses selection on what the registers record, namely sector, size, age and prior trajectory, not on what they do not. For a voluntary scheme that residual is the substantive problem, because a manager ambitious enough to apply is also ambitious enough to grow unaided. The next pool opens on 26 October 2026 (SMV:Digital 2026), and the scheme's eligibility scoring already produces a threshold capable of identifying the effect directly, as Appendix F specifies.</w:t>
      </w:r>
    </w:p>
    <w:p>
      <w:pPr>
        <w:spacing w:before="0" w:after="120"/>
        <w:jc w:val="both"/>
      </w:pPr>
      <w:r>
        <w:rPr>
          <w:rFonts w:ascii="Times New Roman" w:hAnsi="Times New Roman"/>
          <w:b w:val="0"/>
          <w:i w:val="0"/>
          <w:sz w:val="24"/>
        </w:rPr>
        <w:t>Both measures follow from a single reading of the evidence: Denmark built shared infrastructure and left the questions of who could use it, and who could build on it, to a capability it never distributed. The evidence has limits, set out in Appendices A to G; chief among them is that Section 2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June 2025, Agency for Digital Government, accessed 13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2025d,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velfaerdsstat,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2025d</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92282"/>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92282"/>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of these,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Digitaliseringsstyrelsen 2025c,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F1</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Legal basis for linkage</w:t>
            </w:r>
          </w:p>
        </w:tc>
        <w:tc>
          <w:tcPr>
            <w:tcW w:type="dxa" w:w="4680"/>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project start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F.3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F.4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F.5 Timeline</w:t>
      </w:r>
    </w:p>
    <w:p>
      <w:pPr>
        <w:spacing w:before="0" w:after="120"/>
        <w:jc w:val="both"/>
      </w:pPr>
      <w:r>
        <w:rPr>
          <w:rFonts w:ascii="Times New Roman" w:hAnsi="Times New Roman"/>
          <w:b w:val="0"/>
          <w:i w:val="0"/>
          <w:sz w:val="24"/>
        </w:rPr>
        <w:t>Figure F2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2" name="Picture 12"/>
            <wp:cNvGraphicFramePr>
              <a:graphicFrameLocks noChangeAspect="1"/>
            </wp:cNvGraphicFramePr>
            <a:graphic>
              <a:graphicData uri="http://schemas.openxmlformats.org/drawingml/2006/picture">
                <pic:pic>
                  <pic:nvPicPr>
                    <pic:cNvPr id="0" name="fig8_smvdigital.png"/>
                    <pic:cNvPicPr/>
                  </pic:nvPicPr>
                  <pic:blipFill>
                    <a:blip r:embed="rId21"/>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F1 -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770853"/>
            <wp:docPr id="13" name="Picture 13"/>
            <wp:cNvGraphicFramePr>
              <a:graphicFrameLocks noChangeAspect="1"/>
            </wp:cNvGraphicFramePr>
            <a:graphic>
              <a:graphicData uri="http://schemas.openxmlformats.org/drawingml/2006/picture">
                <pic:pic>
                  <pic:nvPicPr>
                    <pic:cNvPr id="0" name="figA_f1_gantt.png"/>
                    <pic:cNvPicPr/>
                  </pic:nvPicPr>
                  <pic:blipFill>
                    <a:blip r:embed="rId22"/>
                    <a:stretch>
                      <a:fillRect/>
                    </a:stretch>
                  </pic:blipFill>
                  <pic:spPr>
                    <a:xfrm>
                      <a:off x="0" y="0"/>
                      <a:ext cx="5760000" cy="2770853"/>
                    </a:xfrm>
                    <a:prstGeom prst="rect"/>
                  </pic:spPr>
                </pic:pic>
              </a:graphicData>
            </a:graphic>
          </wp:inline>
        </w:drawing>
      </w:r>
    </w:p>
    <w:p>
      <w:pPr>
        <w:spacing w:before="0" w:after="200" w:line="240" w:lineRule="auto"/>
        <w:jc w:val="center"/>
      </w:pPr>
      <w:r>
        <w:rPr>
          <w:rFonts w:ascii="Times New Roman" w:hAnsi="Times New Roman"/>
          <w:b w:val="0"/>
          <w:i/>
          <w:sz w:val="20"/>
        </w:rPr>
        <w:t>Figure F2 - Implementation and evaluation timeline for the SMV:Digital scoring-threshold design proposed in Section 6.</w:t>
      </w:r>
    </w:p>
    <w:p>
      <w:r>
        <w:br w:type="page"/>
      </w:r>
    </w:p>
    <w:p>
      <w:pPr>
        <w:spacing w:before="0" w:after="160"/>
        <w:jc w:val="left"/>
      </w:pPr>
      <w:r>
        <w:rPr>
          <w:rFonts w:ascii="Times New Roman" w:hAnsi="Times New Roman"/>
          <w:b/>
          <w:i w:val="0"/>
          <w:sz w:val="26"/>
        </w:rPr>
        <w:t>Appendix G. Comparative Law on Mandatory Digital Administration</w:t>
      </w:r>
    </w:p>
    <w:p>
      <w:pPr>
        <w:spacing w:before="0" w:after="120"/>
        <w:jc w:val="both"/>
      </w:pPr>
      <w:r>
        <w:rPr>
          <w:rFonts w:ascii="Times New Roman" w:hAnsi="Times New Roman"/>
          <w:b w:val="0"/>
          <w:i w:val="0"/>
          <w:sz w:val="24"/>
        </w:rPr>
        <w:t>Section 6 recommends widening the exemption criteria in *Lov om Offentlig Digital Post*.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G.1 France: mandatory digital service is lawful only on conditions</w:t>
      </w:r>
    </w:p>
    <w:p>
      <w:pPr>
        <w:spacing w:before="0" w:after="120"/>
        <w:jc w:val="both"/>
      </w:pPr>
      <w:r>
        <w:rPr>
          <w:rFonts w:ascii="Times New Roman" w:hAnsi="Times New Roman"/>
          <w:b w:val="0"/>
          <w:i w:val="0"/>
          <w:sz w:val="24"/>
        </w:rPr>
        <w:t>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*in concreto*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G.2 Belgium: the alternatives are cumulative, and cost is not a defence</w:t>
      </w:r>
    </w:p>
    <w:p>
      <w:pPr>
        <w:spacing w:before="0" w:after="120"/>
        <w:jc w:val="both"/>
      </w:pPr>
      <w:r>
        <w:rPr>
          <w:rFonts w:ascii="Times New Roman" w:hAnsi="Times New Roman"/>
          <w:b w:val="0"/>
          <w:i w:val="0"/>
          <w:sz w:val="24"/>
        </w:rPr>
        <w:t>In *Arrêt*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**cumulative**: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(Section 6).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G.3 Norway: the digital default binds the administration, not the citizen</w:t>
      </w:r>
    </w:p>
    <w:p>
      <w:pPr>
        <w:spacing w:before="0" w:after="120"/>
        <w:jc w:val="both"/>
      </w:pPr>
      <w:r>
        <w:rPr>
          <w:rFonts w:ascii="Times New Roman" w:hAnsi="Times New Roman"/>
          <w:b w:val="0"/>
          <w:i w:val="0"/>
          <w:sz w:val="24"/>
        </w:rPr>
        <w:t>The sharper contrast is not litigated at all. Norway made electronic communication the administrative default, *digitalt førstevalg*, but under the eGovernment regulations the obligation runs to the public body, and every citizen keeps a statutory right to opt out, the *reservasjonsrett*.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Section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D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G.4 What this does and does not establish</w:t>
      </w:r>
    </w:p>
    <w:p>
      <w:pPr>
        <w:spacing w:before="0" w:after="120"/>
        <w:jc w:val="both"/>
      </w:pPr>
      <w:r>
        <w:rPr>
          <w:rFonts w:ascii="Times New Roman" w:hAnsi="Times New Roman"/>
          <w:b w:val="0"/>
          <w:i w:val="0"/>
          <w:sz w:val="24"/>
        </w:rPr>
        <w:t>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*Lov om Offentlig Digital Post*, and this appendix does not claim that Denmark's mandate is unlawful.</w:t>
      </w:r>
    </w:p>
    <w:p>
      <w:pPr>
        <w:spacing w:before="0" w:after="120"/>
        <w:jc w:val="both"/>
      </w:pPr>
      <w:r>
        <w:rPr>
          <w:rFonts w:ascii="Times New Roman" w:hAnsi="Times New Roman"/>
          <w:b w:val="0"/>
          <w:i w:val="0"/>
          <w:sz w:val="24"/>
        </w:rPr>
        <w:t>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*difficulty*, not to a prior administrative status. That is precisely the gap Section 4 measured and Section 6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