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Table 1 dates the accompanying credential: MitID replaced NemID, which was withdrawn on 31 October 2023. The combination distinguishes the Danish case. A mandate alone changes how letters are sent; a mandate plus a universal credential creates authentication infrastructure every citizen must hold and any firm may build on without financing its adoption, lowering the fixed cost of services built on it. The mandate worked as an adoption instrument: Eurostat (2026a) records that 98.5% of Danish individuals aged 16 to 74 used a public authority website or app during 2024, the highest share in the Union against an EU-27 average of 70.0%. Because compulsion accounts for that use, the economic interest lies in what others built on the same infrastructure.</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financial institutions fell 76.7%, from 219 to 51, while bank employment fell only 29.4%, from roughly 51,000 to 36,000 (Figure 2). Staff per surviving institution rose from 233 to 706. The technologies doing this are online and mobile banking authenticated by MitID: with identity verification and correspondence on shared national infrastructure, branches ceased to be the distribution channel, output per institution rose and the sector consolidated rather than shed labour.</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was the interface, not the rails underneath, which is the kind of innovation shared infrastructure makes cheap to attempt.</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Using Eurostat (2026b), Figure 4 plots the share of internet users purchasing online against e-sales as a share of enterprise turnover across the Union in 2024, the turnover measure from a separate extract (Eurostat 2025c). Across the 18 member states reporting both, the fitted slope is +0.602 percentage points of turnover per percentage point of adoption, with a standard error of 0.105 and R² of 0.674. Appendix A reports the diagnostics. Causation is not established: adoption is measured on consumers and turnover on enterprises, and national income appears on neither axis. Denmark sits above the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but not on firm capability. Its citizens rank first in the Union on e-government use; its firms rank second on e-sales and still only 38.78% of them make any, behind Lithuania at 43.03% and under two firms in five (Eurostat 2025b). A high rank on a low level is the problem, not the achievement.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to raise digital investment among firms that would not otherwise make it, and both are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and its allocation rule drew an objection Denmark's does not face: the Bundesrechnungshof (2022) criticised awarding the funding by lottery rather than on criteria, warning that firms would postpone investment while waiting for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the traits that also produce revenue growth, so the matched estimate retains an upward bias of unknown size.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disposal. Denmark is unusually far along the first and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covers correspondence with every adult in the country. Payments show the same substitution privately: cash fell from 23% to 9% of physical retail payments between 2017 and 2025 (Danmarks Nationalbank 2025). That is a share rather than a volume, so it establishes the direction of the substitution and not its quantity.</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15.37% is a level and not a direction, and no claim is made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 falls most heavily on the oldest citizens, whose only relief is statutory exemption from Digital Post. Digitaliseringsstyrelsen (2026) reports that nearly one citizen in five aged 75 to 84 holds a formal exemption, rising to roughly one in three among those 85 and over. Those are 2022 figures against a 2026 rate below, so the two are complementary rather than points on a trend.</w:t>
      </w:r>
    </w:p>
    <w:p>
      <w:pPr>
        <w:spacing w:before="0" w:after="120"/>
        <w:jc w:val="both"/>
      </w:pPr>
      <w:r>
        <w:rPr>
          <w:rFonts w:ascii="Times New Roman" w:hAnsi="Times New Roman"/>
          <w:b/>
          <w:i w:val="0"/>
          <w:sz w:val="24"/>
        </w:rPr>
        <w:t>Effectiveness, and what the headline conceals.</w:t>
      </w:r>
      <w:r>
        <w:rPr>
          <w:rFonts w:ascii="Times New Roman" w:hAnsi="Times New Roman"/>
          <w:b w:val="0"/>
          <w:i w:val="0"/>
          <w:sz w:val="24"/>
        </w:rPr>
        <w:t xml:space="preserve"> The measure on which Denmark ranks first is the one least able to detect this problem. Eurostat (2026a) puts Danish e-government use at 98.5%, but the survey asks only whether a person interacted online at all, once, in twelve months: it records reach, and is silent on whether the attempt succeeded or was made independently (Figure 8). In the first quarter of 2026, 4.7% of citizens aged 15 and over, or 238,479 people, were exempt, the narrowest available measure of the problem; Figure 9 sets it against four wider estimates that are not comparable because measure, year and denominator all differ, and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16.5% of 6,025,603 (Danmarks Statistik 2026) is roughly 994,000 against 238,479 exempt, so on the order of three-quarters of a million Danes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leads the Union in all three bands (Figure 10).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Question 3 meets the same standard from the other side: Denmark's position on ICT waste recovery is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extending equivalent capability to smaller firms. That is the same instrument, and the same justification, as SMV:Digital. A fixed cost of proving anything, emissions or returns, is heavier the smaller the firm bearing it.</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