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i w:val="0"/>
          <w:sz w:val="32"/>
        </w:rPr>
        <w:t>Digital Policy and Innovation Report: Denmark</w:t>
      </w:r>
    </w:p>
    <w:p>
      <w:pPr>
        <w:spacing w:before="0" w:after="40"/>
        <w:jc w:val="center"/>
      </w:pPr>
      <w:r>
        <w:rPr>
          <w:rFonts w:ascii="Times New Roman" w:hAnsi="Times New Roman"/>
          <w:b w:val="0"/>
          <w:i w:val="0"/>
          <w:sz w:val="22"/>
        </w:rPr>
        <w:t>ECON1596/ECON1597 Assessment 2 | s4040040 | Class group: [CLASS GROUP]</w:t>
      </w:r>
    </w:p>
    <w:p>
      <w:pPr>
        <w:spacing w:before="0" w:after="40"/>
        <w:jc w:val="center"/>
      </w:pPr>
      <w:r>
        <w:rPr>
          <w:rFonts w:ascii="Times New Roman" w:hAnsi="Times New Roman"/>
          <w:b w:val="0"/>
          <w:i w:val="0"/>
          <w:sz w:val="22"/>
        </w:rPr>
        <w:t>Submitted 17 September 2026</w:t>
      </w:r>
    </w:p>
    <w:p>
      <w:pPr>
        <w:spacing w:before="0" w:after="40"/>
        <w:jc w:val="center"/>
      </w:pPr>
      <w:r>
        <w:rPr>
          <w:rFonts w:ascii="Times New Roman" w:hAnsi="Times New Roman"/>
          <w:b w:val="0"/>
          <w:i w:val="0"/>
          <w:sz w:val="22"/>
        </w:rPr>
        <w:t>Accompanying data file: ECON1596_A2_Denmark_DataWorkbook_s4040040.xlsx</w:t>
      </w:r>
    </w:p>
    <w:p>
      <w:pPr>
        <w:spacing w:before="0" w:after="0"/>
        <w:jc w:val="both"/>
      </w:pPr>
    </w:p>
    <w:p>
      <w:pPr>
        <w:spacing w:before="160" w:after="280"/>
        <w:ind w:left="567" w:right="567"/>
        <w:jc w:val="both"/>
      </w:pPr>
      <w:r>
        <w:rPr>
          <w:rFonts w:ascii="Times New Roman" w:hAnsi="Times New Roman"/>
          <w:b w:val="0"/>
          <w:i/>
          <w:sz w:val="24"/>
        </w:rPr>
        <w:t>Thesis. Danish digital adoption is near-universal among citizens and thin among firms and at the edges of the population, and the instrument that delivered the universal part, legal compulsion, is why the rest is missing.</w:t>
      </w:r>
    </w:p>
    <w:p>
      <w:pPr>
        <w:spacing w:before="240" w:after="120"/>
        <w:jc w:val="left"/>
      </w:pPr>
      <w:r>
        <w:rPr>
          <w:rFonts w:ascii="Times New Roman" w:hAnsi="Times New Roman"/>
          <w:b/>
          <w:i w:val="0"/>
          <w:sz w:val="26"/>
        </w:rPr>
        <w:t>Question 1. Digital innovation and industry transformation</w:t>
      </w:r>
    </w:p>
    <w:p>
      <w:pPr>
        <w:spacing w:before="0" w:after="120"/>
        <w:jc w:val="both"/>
      </w:pPr>
      <w:r>
        <w:rPr>
          <w:rFonts w:ascii="Times New Roman" w:hAnsi="Times New Roman"/>
          <w:b w:val="0"/>
          <w:i w:val="0"/>
          <w:sz w:val="24"/>
        </w:rPr>
        <w:t xml:space="preserve">Denmark did not persuade its citizens to adopt digital public services; it required them to do so. </w:t>
      </w:r>
      <w:r>
        <w:rPr>
          <w:rFonts w:ascii="Times New Roman" w:hAnsi="Times New Roman"/>
          <w:b w:val="0"/>
          <w:i/>
          <w:sz w:val="24"/>
        </w:rPr>
        <w:t>Lov om Offentlig Digital Post</w:t>
      </w:r>
      <w:r>
        <w:rPr>
          <w:rFonts w:ascii="Times New Roman" w:hAnsi="Times New Roman"/>
          <w:b w:val="0"/>
          <w:i w:val="0"/>
          <w:sz w:val="24"/>
        </w:rPr>
        <w:t xml:space="preserve"> (Denmark 2012) made a state-run digital mailbox the default legal channel for public correspondence, binding businesses from 2013 and every citizen aged 15 and over from 1 November 2014. Table 1 dates the accompanying credential: NemID gave way to MitID, withdrawn on 31 October 2023. The combination is what distinguishes the Danish case. A mandate alone changes how letters are sent; a mandate plus a universal credential creates shared authentication infrastructure every citizen must hold and any firm may build on without financing its adoption, lowering the fixed cost of services built on it. The mandate worked as an adoption instrument: Eurostat (2025b) records that 98.5% of Danish individuals aged 16 to 74 used a public authority website or app during 2024, the highest share in the Union against an EU-27 average of 70.0%. Because compulsion accounts for that use, the economic interest lies in what others built on the same infrastructure.</w:t>
      </w:r>
    </w:p>
    <w:p>
      <w:pPr>
        <w:spacing w:before="0" w:after="120"/>
        <w:jc w:val="both"/>
      </w:pPr>
      <w:r>
        <w:rPr>
          <w:rFonts w:ascii="Times New Roman" w:hAnsi="Times New Roman"/>
          <w:b/>
          <w:i w:val="0"/>
          <w:sz w:val="24"/>
        </w:rPr>
        <w:t>Retail banking.</w:t>
      </w:r>
      <w:r>
        <w:rPr>
          <w:rFonts w:ascii="Times New Roman" w:hAnsi="Times New Roman"/>
          <w:b w:val="0"/>
          <w:i w:val="0"/>
          <w:sz w:val="24"/>
        </w:rPr>
        <w:t xml:space="preserve"> Finans Danmark (2025) reports that Danish retail bank branches fell from 2,025 in 2004 to 665 in 2024, a decline of 67.2% (Figure 1). Taken alone that suggests digitalisation eliminated banking employment, but the longer series qualifies it: between 1991 and 2024 financial institutions fell 76.7%, from 219 to 51, while bank employment fell only 29.4%, from roughly 51,000 to 36,000 (Figure 2). Staff per surviving institution rose from 233 to 706. The technologies doing this are online and mobile banking authenticated by MitID: with identity verification and correspondence on shared national infrastructure, branches ceased to be the distribution channel, output per institution rose and the sector consolidated rather than shed labour. The three series begin in different years and must not be differenced.</w:t>
      </w:r>
    </w:p>
    <w:p>
      <w:pPr>
        <w:spacing w:before="0" w:after="120"/>
        <w:jc w:val="both"/>
      </w:pPr>
      <w:r>
        <w:rPr>
          <w:rFonts w:ascii="Times New Roman" w:hAnsi="Times New Roman"/>
          <w:b/>
          <w:i w:val="0"/>
          <w:sz w:val="24"/>
        </w:rPr>
        <w:t>Retail payments.</w:t>
      </w:r>
      <w:r>
        <w:rPr>
          <w:rFonts w:ascii="Times New Roman" w:hAnsi="Times New Roman"/>
          <w:b w:val="0"/>
          <w:i w:val="0"/>
          <w:sz w:val="24"/>
        </w:rPr>
        <w:t xml:space="preserve"> Danmarks Nationalbank (2025) reports that cash fell from 23% to 9% of the </w:t>
      </w:r>
      <w:r>
        <w:rPr>
          <w:rFonts w:ascii="Times New Roman" w:hAnsi="Times New Roman"/>
          <w:b w:val="0"/>
          <w:i/>
          <w:sz w:val="24"/>
        </w:rPr>
        <w:t>number</w:t>
      </w:r>
      <w:r>
        <w:rPr>
          <w:rFonts w:ascii="Times New Roman" w:hAnsi="Times New Roman"/>
          <w:b w:val="0"/>
          <w:i w:val="0"/>
          <w:sz w:val="24"/>
        </w:rPr>
        <w:t xml:space="preserve"> of payments in physical retail between 2017 and 2025, while card-based mobile wallets reached 32% of the same measure (Figure 3). Much of this is displacement within digital instruments rather than new digitalisation, because wallet payments are card payments and the physical card share fell from 73% to 54%. What changed was the interface, not the rails underneath, which is the kind of innovation shared infrastructure makes cheap to attempt.</w:t>
      </w:r>
    </w:p>
    <w:p>
      <w:pPr>
        <w:spacing w:before="0" w:after="120"/>
        <w:jc w:val="both"/>
      </w:pPr>
      <w:r>
        <w:rPr>
          <w:rFonts w:ascii="Times New Roman" w:hAnsi="Times New Roman"/>
          <w:b/>
          <w:i w:val="0"/>
          <w:sz w:val="24"/>
        </w:rPr>
        <w:t>Broader economic effect.</w:t>
      </w:r>
      <w:r>
        <w:rPr>
          <w:rFonts w:ascii="Times New Roman" w:hAnsi="Times New Roman"/>
          <w:b w:val="0"/>
          <w:i w:val="0"/>
          <w:sz w:val="24"/>
        </w:rPr>
        <w:t xml:space="preserve"> Whether wider consumer adoption is associated with greater commercial activity can be tested directly. Using Eurostat (2026), Figure 4 plots the share of internet users purchasing online against e-sales as a share of enterprise turnover across the Union in 2024, the turnover measure from a separate extract (Eurostat 2025d). Across the 18 member states reporting both, the fitted slope is +0.602 percentage points of turnover per percentage point of adoption, with a standard error of 0.105 and an R² of 0.674. Appendix A reports the diagnostics. Causation is not established: adoption is measured on consumers and turnover on enterprises, and national income appears on neither axis. Denmark sits above the line by less than one residual standard error and behind three other states, consistent with the European pattern rather than exceptional to it.</w:t>
      </w:r>
    </w:p>
    <w:p>
      <w:pPr>
        <w:spacing w:before="160" w:after="80" w:line="240" w:lineRule="auto"/>
        <w:jc w:val="left"/>
      </w:pPr>
      <w:r>
        <w:rPr>
          <w:rFonts w:ascii="Times New Roman" w:hAnsi="Times New Roman"/>
          <w:b/>
          <w:i w:val="0"/>
          <w:sz w:val="20"/>
        </w:rPr>
        <w:t>Table 1. The instruments this report turns on. Full timeline in workbook sheet 09_POLICY.</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tcPr>
          <w:p>
            <w:pPr>
              <w:spacing w:line="240" w:lineRule="auto" w:after="40"/>
            </w:pPr>
            <w:r>
              <w:rPr>
                <w:rFonts w:ascii="Times New Roman" w:hAnsi="Times New Roman"/>
                <w:b/>
                <w:sz w:val="20"/>
              </w:rPr>
              <w:t>Date</w:t>
            </w:r>
          </w:p>
        </w:tc>
        <w:tc>
          <w:tcPr>
            <w:tcW w:type="dxa" w:w="2256"/>
          </w:tcPr>
          <w:p>
            <w:pPr>
              <w:spacing w:line="240" w:lineRule="auto" w:after="40"/>
            </w:pPr>
            <w:r>
              <w:rPr>
                <w:rFonts w:ascii="Times New Roman" w:hAnsi="Times New Roman"/>
                <w:b/>
                <w:sz w:val="20"/>
              </w:rPr>
              <w:t>Instrument</w:t>
            </w:r>
          </w:p>
        </w:tc>
        <w:tc>
          <w:tcPr>
            <w:tcW w:type="dxa" w:w="2256"/>
          </w:tcPr>
          <w:p>
            <w:pPr>
              <w:spacing w:line="240" w:lineRule="auto" w:after="40"/>
            </w:pPr>
            <w:r>
              <w:rPr>
                <w:rFonts w:ascii="Times New Roman" w:hAnsi="Times New Roman"/>
                <w:b/>
                <w:sz w:val="20"/>
              </w:rPr>
              <w:t>What it did</w:t>
            </w:r>
          </w:p>
        </w:tc>
        <w:tc>
          <w:tcPr>
            <w:tcW w:type="dxa" w:w="2256"/>
          </w:tcPr>
          <w:p>
            <w:pPr>
              <w:spacing w:line="240" w:lineRule="auto" w:after="40"/>
            </w:pPr>
            <w:r>
              <w:rPr>
                <w:rFonts w:ascii="Times New Roman" w:hAnsi="Times New Roman"/>
                <w:b/>
                <w:sz w:val="20"/>
              </w:rPr>
              <w:t>Source</w:t>
            </w:r>
          </w:p>
        </w:tc>
      </w:tr>
      <w:tr>
        <w:tc>
          <w:tcPr>
            <w:tcW w:type="dxa" w:w="2256"/>
          </w:tcPr>
          <w:p>
            <w:pPr>
              <w:spacing w:line="240" w:lineRule="auto" w:after="40"/>
            </w:pPr>
            <w:r>
              <w:rPr>
                <w:rFonts w:ascii="Times New Roman" w:hAnsi="Times New Roman"/>
                <w:sz w:val="20"/>
              </w:rPr>
              <w:t>2012-06-11</w:t>
            </w:r>
          </w:p>
        </w:tc>
        <w:tc>
          <w:tcPr>
            <w:tcW w:type="dxa" w:w="2256"/>
          </w:tcPr>
          <w:p>
            <w:pPr>
              <w:spacing w:line="240" w:lineRule="auto" w:after="40"/>
            </w:pPr>
            <w:r>
              <w:rPr>
                <w:rFonts w:ascii="Times New Roman" w:hAnsi="Times New Roman"/>
                <w:sz w:val="20"/>
              </w:rPr>
              <w:t>LOV nr 528 af 11/06/2012</w:t>
            </w:r>
          </w:p>
        </w:tc>
        <w:tc>
          <w:tcPr>
            <w:tcW w:type="dxa" w:w="2256"/>
          </w:tcPr>
          <w:p>
            <w:pPr>
              <w:spacing w:line="240" w:lineRule="auto" w:after="40"/>
            </w:pPr>
            <w:r>
              <w:rPr>
                <w:rFonts w:ascii="Times New Roman" w:hAnsi="Times New Roman"/>
                <w:sz w:val="20"/>
              </w:rPr>
              <w:t>Lov om Offentlig Digital Post adopted</w:t>
            </w:r>
          </w:p>
        </w:tc>
        <w:tc>
          <w:tcPr>
            <w:tcW w:type="dxa" w:w="2256"/>
          </w:tcPr>
          <w:p>
            <w:pPr>
              <w:spacing w:line="240" w:lineRule="auto" w:after="40"/>
            </w:pPr>
            <w:r>
              <w:rPr>
                <w:rFonts w:ascii="Times New Roman" w:hAnsi="Times New Roman"/>
                <w:sz w:val="20"/>
              </w:rPr>
              <w:t>Denmark 2012</w:t>
            </w:r>
          </w:p>
        </w:tc>
      </w:tr>
      <w:tr>
        <w:tc>
          <w:tcPr>
            <w:tcW w:type="dxa" w:w="2256"/>
          </w:tcPr>
          <w:p>
            <w:pPr>
              <w:spacing w:line="240" w:lineRule="auto" w:after="40"/>
            </w:pPr>
            <w:r>
              <w:rPr>
                <w:rFonts w:ascii="Times New Roman" w:hAnsi="Times New Roman"/>
                <w:sz w:val="20"/>
              </w:rPr>
              <w:t>2014-11-01</w:t>
            </w:r>
          </w:p>
        </w:tc>
        <w:tc>
          <w:tcPr>
            <w:tcW w:type="dxa" w:w="2256"/>
          </w:tcPr>
          <w:p>
            <w:pPr>
              <w:spacing w:line="240" w:lineRule="auto" w:after="40"/>
            </w:pPr>
            <w:r>
              <w:rPr>
                <w:rFonts w:ascii="Times New Roman" w:hAnsi="Times New Roman"/>
                <w:sz w:val="20"/>
              </w:rPr>
              <w:t>Lov om Offentlig Digital Post</w:t>
            </w:r>
          </w:p>
        </w:tc>
        <w:tc>
          <w:tcPr>
            <w:tcW w:type="dxa" w:w="2256"/>
          </w:tcPr>
          <w:p>
            <w:pPr>
              <w:spacing w:line="240" w:lineRule="auto" w:after="40"/>
            </w:pPr>
            <w:r>
              <w:rPr>
                <w:rFonts w:ascii="Times New Roman" w:hAnsi="Times New Roman"/>
                <w:sz w:val="20"/>
              </w:rPr>
              <w:t>Digital Post becomes mandatory for citizens aged 15+</w:t>
            </w:r>
          </w:p>
        </w:tc>
        <w:tc>
          <w:tcPr>
            <w:tcW w:type="dxa" w:w="2256"/>
          </w:tcPr>
          <w:p>
            <w:pPr>
              <w:spacing w:line="240" w:lineRule="auto" w:after="40"/>
            </w:pPr>
            <w:r>
              <w:rPr>
                <w:rFonts w:ascii="Times New Roman" w:hAnsi="Times New Roman"/>
                <w:sz w:val="20"/>
              </w:rPr>
              <w:t>Digitaliseringsstyrelsen 2025a</w:t>
            </w:r>
          </w:p>
        </w:tc>
      </w:tr>
      <w:tr>
        <w:tc>
          <w:tcPr>
            <w:tcW w:type="dxa" w:w="2256"/>
          </w:tcPr>
          <w:p>
            <w:pPr>
              <w:spacing w:line="240" w:lineRule="auto" w:after="40"/>
            </w:pPr>
            <w:r>
              <w:rPr>
                <w:rFonts w:ascii="Times New Roman" w:hAnsi="Times New Roman"/>
                <w:sz w:val="20"/>
              </w:rPr>
              <w:t>2023-10-31</w:t>
            </w:r>
          </w:p>
        </w:tc>
        <w:tc>
          <w:tcPr>
            <w:tcW w:type="dxa" w:w="2256"/>
          </w:tcPr>
          <w:p>
            <w:pPr>
              <w:spacing w:line="240" w:lineRule="auto" w:after="40"/>
            </w:pPr>
            <w:r>
              <w:rPr>
                <w:rFonts w:ascii="Times New Roman" w:hAnsi="Times New Roman"/>
                <w:sz w:val="20"/>
              </w:rPr>
              <w:t>National electronic ID replacement programme</w:t>
            </w:r>
          </w:p>
        </w:tc>
        <w:tc>
          <w:tcPr>
            <w:tcW w:type="dxa" w:w="2256"/>
          </w:tcPr>
          <w:p>
            <w:pPr>
              <w:spacing w:line="240" w:lineRule="auto" w:after="40"/>
            </w:pPr>
            <w:r>
              <w:rPr>
                <w:rFonts w:ascii="Times New Roman" w:hAnsi="Times New Roman"/>
                <w:sz w:val="20"/>
              </w:rPr>
              <w:t>NemID fully phased out</w:t>
            </w:r>
          </w:p>
        </w:tc>
        <w:tc>
          <w:tcPr>
            <w:tcW w:type="dxa" w:w="2256"/>
          </w:tcPr>
          <w:p>
            <w:pPr>
              <w:spacing w:line="240" w:lineRule="auto" w:after="40"/>
            </w:pPr>
            <w:r>
              <w:rPr>
                <w:rFonts w:ascii="Times New Roman" w:hAnsi="Times New Roman"/>
                <w:sz w:val="20"/>
              </w:rPr>
              <w:t>Digitaliseringsstyrelsen 2025a</w:t>
            </w:r>
          </w:p>
        </w:tc>
      </w:tr>
    </w:tbl>
    <w:p>
      <w:pPr>
        <w:spacing w:before="0" w:after="0"/>
        <w:jc w:val="both"/>
      </w:pPr>
    </w:p>
    <w:p>
      <w:pPr>
        <w:spacing w:before="160" w:after="40"/>
        <w:jc w:val="center"/>
      </w:pPr>
      <w:r>
        <w:drawing>
          <wp:inline xmlns:a="http://schemas.openxmlformats.org/drawingml/2006/main" xmlns:pic="http://schemas.openxmlformats.org/drawingml/2006/picture">
            <wp:extent cx="5580000" cy="3134982"/>
            <wp:docPr id="1" name="Picture 1"/>
            <wp:cNvGraphicFramePr>
              <a:graphicFrameLocks noChangeAspect="1"/>
            </wp:cNvGraphicFramePr>
            <a:graphic>
              <a:graphicData uri="http://schemas.openxmlformats.org/drawingml/2006/picture">
                <pic:pic>
                  <pic:nvPicPr>
                    <pic:cNvPr id="0" name="fig1_branches.png"/>
                    <pic:cNvPicPr/>
                  </pic:nvPicPr>
                  <pic:blipFill>
                    <a:blip r:embed="rId10"/>
                    <a:stretch>
                      <a:fillRect/>
                    </a:stretch>
                  </pic:blipFill>
                  <pic:spPr>
                    <a:xfrm>
                      <a:off x="0" y="0"/>
                      <a:ext cx="5580000" cy="3134982"/>
                    </a:xfrm>
                    <a:prstGeom prst="rect"/>
                  </pic:spPr>
                </pic:pic>
              </a:graphicData>
            </a:graphic>
          </wp:inline>
        </w:drawing>
      </w:r>
    </w:p>
    <w:p>
      <w:pPr>
        <w:spacing w:before="0" w:after="200" w:line="240" w:lineRule="auto"/>
        <w:jc w:val="center"/>
      </w:pPr>
      <w:r>
        <w:rPr>
          <w:rFonts w:ascii="Times New Roman" w:hAnsi="Times New Roman"/>
          <w:b w:val="0"/>
          <w:i/>
          <w:sz w:val="20"/>
        </w:rPr>
        <w:t>Figure 1. Danish retail bank branches, 2004-2024. Finans Danmark; workbook F1_BRANCHES.</w:t>
      </w:r>
    </w:p>
    <w:p>
      <w:pPr>
        <w:spacing w:before="160" w:after="40"/>
        <w:jc w:val="center"/>
      </w:pPr>
      <w:r>
        <w:drawing>
          <wp:inline xmlns:a="http://schemas.openxmlformats.org/drawingml/2006/main" xmlns:pic="http://schemas.openxmlformats.org/drawingml/2006/picture">
            <wp:extent cx="5580000" cy="2829126"/>
            <wp:docPr id="2" name="Picture 2"/>
            <wp:cNvGraphicFramePr>
              <a:graphicFrameLocks noChangeAspect="1"/>
            </wp:cNvGraphicFramePr>
            <a:graphic>
              <a:graphicData uri="http://schemas.openxmlformats.org/drawingml/2006/picture">
                <pic:pic>
                  <pic:nvPicPr>
                    <pic:cNvPr id="0" name="fig2_consolidation.png"/>
                    <pic:cNvPicPr/>
                  </pic:nvPicPr>
                  <pic:blipFill>
                    <a:blip r:embed="rId11"/>
                    <a:stretch>
                      <a:fillRect/>
                    </a:stretch>
                  </pic:blipFill>
                  <pic:spPr>
                    <a:xfrm>
                      <a:off x="0" y="0"/>
                      <a:ext cx="5580000" cy="2829126"/>
                    </a:xfrm>
                    <a:prstGeom prst="rect"/>
                  </pic:spPr>
                </pic:pic>
              </a:graphicData>
            </a:graphic>
          </wp:inline>
        </w:drawing>
      </w:r>
    </w:p>
    <w:p>
      <w:pPr>
        <w:spacing w:before="0" w:after="200" w:line="240" w:lineRule="auto"/>
        <w:jc w:val="center"/>
      </w:pPr>
      <w:r>
        <w:rPr>
          <w:rFonts w:ascii="Times New Roman" w:hAnsi="Times New Roman"/>
          <w:b w:val="0"/>
          <w:i/>
          <w:sz w:val="20"/>
        </w:rPr>
        <w:t>Figure 2. Danish banking consolidation: institutions, branches, employment; differing base years. Finans Danmark; workbook F9.</w:t>
      </w:r>
    </w:p>
    <w:p>
      <w:pPr>
        <w:spacing w:before="160" w:after="40"/>
        <w:jc w:val="center"/>
      </w:pPr>
      <w:r>
        <w:drawing>
          <wp:inline xmlns:a="http://schemas.openxmlformats.org/drawingml/2006/main" xmlns:pic="http://schemas.openxmlformats.org/drawingml/2006/picture">
            <wp:extent cx="5580000" cy="3307305"/>
            <wp:docPr id="3" name="Picture 3"/>
            <wp:cNvGraphicFramePr>
              <a:graphicFrameLocks noChangeAspect="1"/>
            </wp:cNvGraphicFramePr>
            <a:graphic>
              <a:graphicData uri="http://schemas.openxmlformats.org/drawingml/2006/picture">
                <pic:pic>
                  <pic:nvPicPr>
                    <pic:cNvPr id="0" name="figA_e2_payments.png"/>
                    <pic:cNvPicPr/>
                  </pic:nvPicPr>
                  <pic:blipFill>
                    <a:blip r:embed="rId12"/>
                    <a:stretch>
                      <a:fillRect/>
                    </a:stretch>
                  </pic:blipFill>
                  <pic:spPr>
                    <a:xfrm>
                      <a:off x="0" y="0"/>
                      <a:ext cx="5580000" cy="3307305"/>
                    </a:xfrm>
                    <a:prstGeom prst="rect"/>
                  </pic:spPr>
                </pic:pic>
              </a:graphicData>
            </a:graphic>
          </wp:inline>
        </w:drawing>
      </w:r>
    </w:p>
    <w:p>
      <w:pPr>
        <w:spacing w:before="0" w:after="200" w:line="240" w:lineRule="auto"/>
        <w:jc w:val="center"/>
      </w:pPr>
      <w:r>
        <w:rPr>
          <w:rFonts w:ascii="Times New Roman" w:hAnsi="Times New Roman"/>
          <w:b w:val="0"/>
          <w:i/>
          <w:sz w:val="20"/>
        </w:rPr>
        <w:t>Figure 3. Instrument shares of physical-retail payments, 2017-2025. Danmarks Nationalbank; workbook F2_PAYMENTS.</w:t>
      </w:r>
    </w:p>
    <w:p>
      <w:pPr>
        <w:spacing w:before="160" w:after="40"/>
        <w:jc w:val="center"/>
      </w:pPr>
      <w:r>
        <w:drawing>
          <wp:inline xmlns:a="http://schemas.openxmlformats.org/drawingml/2006/main" xmlns:pic="http://schemas.openxmlformats.org/drawingml/2006/picture">
            <wp:extent cx="5580000" cy="3800470"/>
            <wp:docPr id="4" name="Picture 4"/>
            <wp:cNvGraphicFramePr>
              <a:graphicFrameLocks noChangeAspect="1"/>
            </wp:cNvGraphicFramePr>
            <a:graphic>
              <a:graphicData uri="http://schemas.openxmlformats.org/drawingml/2006/picture">
                <pic:pic>
                  <pic:nvPicPr>
                    <pic:cNvPr id="0" name="fig3_regression.png"/>
                    <pic:cNvPicPr/>
                  </pic:nvPicPr>
                  <pic:blipFill>
                    <a:blip r:embed="rId13"/>
                    <a:stretch>
                      <a:fillRect/>
                    </a:stretch>
                  </pic:blipFill>
                  <pic:spPr>
                    <a:xfrm>
                      <a:off x="0" y="0"/>
                      <a:ext cx="5580000" cy="3800470"/>
                    </a:xfrm>
                    <a:prstGeom prst="rect"/>
                  </pic:spPr>
                </pic:pic>
              </a:graphicData>
            </a:graphic>
          </wp:inline>
        </w:drawing>
      </w:r>
    </w:p>
    <w:p>
      <w:pPr>
        <w:spacing w:before="0" w:after="200" w:line="240" w:lineRule="auto"/>
        <w:jc w:val="center"/>
      </w:pPr>
      <w:r>
        <w:rPr>
          <w:rFonts w:ascii="Times New Roman" w:hAnsi="Times New Roman"/>
          <w:b w:val="0"/>
          <w:i/>
          <w:sz w:val="20"/>
        </w:rPr>
        <w:t>Figure 4. Consumer adoption and enterprise e-commerce turnover, EU 2024. Eurostat; workbook F6.</w:t>
      </w:r>
    </w:p>
    <w:p>
      <w:pPr>
        <w:spacing w:before="240" w:after="120"/>
        <w:jc w:val="left"/>
      </w:pPr>
      <w:r>
        <w:rPr>
          <w:rFonts w:ascii="Times New Roman" w:hAnsi="Times New Roman"/>
          <w:b/>
          <w:i w:val="0"/>
          <w:sz w:val="26"/>
        </w:rPr>
        <w:t>Question 2. Policy comparison: SME digitalisation support in Denmark and Germany</w:t>
      </w:r>
    </w:p>
    <w:p>
      <w:pPr>
        <w:spacing w:before="0" w:after="120"/>
        <w:jc w:val="both"/>
      </w:pPr>
      <w:r>
        <w:rPr>
          <w:rFonts w:ascii="Times New Roman" w:hAnsi="Times New Roman"/>
          <w:b/>
          <w:i w:val="0"/>
          <w:sz w:val="24"/>
        </w:rPr>
        <w:t>The problem both policies address.</w:t>
      </w:r>
      <w:r>
        <w:rPr>
          <w:rFonts w:ascii="Times New Roman" w:hAnsi="Times New Roman"/>
          <w:b w:val="0"/>
          <w:i w:val="0"/>
          <w:sz w:val="24"/>
        </w:rPr>
        <w:t xml:space="preserve"> Denmark leads Europe on citizen adoption but not on firm capability. Against the first place it holds on e-government use, only 38.78% of Danish enterprises make any e-sales, second in the Union behind Lithuania at 43.03% and still under two firms in five (Eurostat 2025c). Intensity rose where breadth did not: e-sales grew from 17.05% of enterprise turnover in 2014 to 33.31% in 2024, against an EU-27 average moving from 16.43% to 19.49% (Figure 5). The same split governs the newest technology. The European Commission (2026) reports that 42.03% of Danish enterprises used artificial intelligence in 2025, comprising 74.52% of large firms against 40.99% of small and medium ones, a gap of 33.53 percentage points (Figure 6). This is not a connectivity failure, since 92.45% of Danish SMEs clear the basic digital-intensity threshold against an EU average of 71.39%. What smaller firms lack is the complementary capital, namely data, systems integration and specialist staff, that converts access into application.</w:t>
      </w:r>
    </w:p>
    <w:p>
      <w:pPr>
        <w:spacing w:before="0" w:after="120"/>
        <w:jc w:val="both"/>
      </w:pPr>
      <w:r>
        <w:rPr>
          <w:rFonts w:ascii="Times New Roman" w:hAnsi="Times New Roman"/>
          <w:b/>
          <w:i w:val="0"/>
          <w:sz w:val="24"/>
        </w:rPr>
        <w:t>The two instruments.</w:t>
      </w:r>
      <w:r>
        <w:rPr>
          <w:rFonts w:ascii="Times New Roman" w:hAnsi="Times New Roman"/>
          <w:b w:val="0"/>
          <w:i w:val="0"/>
          <w:sz w:val="24"/>
        </w:rPr>
        <w:t xml:space="preserve"> Denmark's SMV:Digital and Germany's </w:t>
      </w:r>
      <w:r>
        <w:rPr>
          <w:rFonts w:ascii="Times New Roman" w:hAnsi="Times New Roman"/>
          <w:b w:val="0"/>
          <w:i/>
          <w:sz w:val="24"/>
        </w:rPr>
        <w:t>Digital Jetzt</w:t>
      </w:r>
      <w:r>
        <w:rPr>
          <w:rFonts w:ascii="Times New Roman" w:hAnsi="Times New Roman"/>
          <w:b w:val="0"/>
          <w:i w:val="0"/>
          <w:sz w:val="24"/>
        </w:rPr>
        <w:t xml:space="preserve"> share an objective, to raise digital investment among firms that would not otherwise make it, and both are co-financed grants to small and medium enterprises. They differ in how they choose recipients. SMV:Digital scores applications and funds the highest scorers until the pool is exhausted, the next pool opening on 26 October 2026 (SMV:Digital 2026); </w:t>
      </w:r>
      <w:r>
        <w:rPr>
          <w:rFonts w:ascii="Times New Roman" w:hAnsi="Times New Roman"/>
          <w:b w:val="0"/>
          <w:i/>
          <w:sz w:val="24"/>
        </w:rPr>
        <w:t>Digital Jetzt</w:t>
      </w:r>
      <w:r>
        <w:rPr>
          <w:rFonts w:ascii="Times New Roman" w:hAnsi="Times New Roman"/>
          <w:b w:val="0"/>
          <w:i w:val="0"/>
          <w:sz w:val="24"/>
        </w:rPr>
        <w:t xml:space="preserve"> allocated by lottery among eligible applicants.</w:t>
      </w:r>
    </w:p>
    <w:p>
      <w:pPr>
        <w:spacing w:before="0" w:after="120"/>
        <w:jc w:val="both"/>
      </w:pPr>
      <w:r>
        <w:rPr>
          <w:rFonts w:ascii="Times New Roman" w:hAnsi="Times New Roman"/>
          <w:b/>
          <w:i w:val="0"/>
          <w:sz w:val="24"/>
        </w:rPr>
        <w:t>Effectiveness.</w:t>
      </w:r>
      <w:r>
        <w:rPr>
          <w:rFonts w:ascii="Times New Roman" w:hAnsi="Times New Roman"/>
          <w:b w:val="0"/>
          <w:i w:val="0"/>
          <w:sz w:val="24"/>
        </w:rPr>
        <w:t xml:space="preserve"> Denmark's scheme is the better evidenced. Digitaliseringsstyrelsen (2025b) links recipients to Danmarks Statistik registers and compares them with matched controls, reporting revenue growth of 18% against 13% and employment growth of 8% against 4%. No comparable register-linked estimate is published for </w:t>
      </w:r>
      <w:r>
        <w:rPr>
          <w:rFonts w:ascii="Times New Roman" w:hAnsi="Times New Roman"/>
          <w:b w:val="0"/>
          <w:i/>
          <w:sz w:val="24"/>
        </w:rPr>
        <w:t>Digital Jetzt</w:t>
      </w:r>
      <w:r>
        <w:rPr>
          <w:rFonts w:ascii="Times New Roman" w:hAnsi="Times New Roman"/>
          <w:b w:val="0"/>
          <w:i w:val="0"/>
          <w:sz w:val="24"/>
        </w:rPr>
        <w:t>, and its allocation rule drew an objection Denmark's does not face: the Bundesrechnungshof (2022) criticised awarding the funding by lottery rather than on criteria, warning that firms would postpone investment while waiting for a favourable draw, and called for the procedure to be discontinued. A lottery makes the grant a prize worth waiting for, and waiting is the opposite of what the scheme exists to produce.</w:t>
      </w:r>
    </w:p>
    <w:p>
      <w:pPr>
        <w:spacing w:before="0" w:after="120"/>
        <w:jc w:val="both"/>
      </w:pPr>
      <w:r>
        <w:rPr>
          <w:rFonts w:ascii="Times New Roman" w:hAnsi="Times New Roman"/>
          <w:b/>
          <w:i w:val="0"/>
          <w:sz w:val="24"/>
        </w:rPr>
        <w:t>Weaknesses and implementation challenges.</w:t>
      </w:r>
      <w:r>
        <w:rPr>
          <w:rFonts w:ascii="Times New Roman" w:hAnsi="Times New Roman"/>
          <w:b w:val="0"/>
          <w:i w:val="0"/>
          <w:sz w:val="24"/>
        </w:rPr>
        <w:t xml:space="preserve"> Denmark's advantage is narrower than it appears. Matching addresses selection on what the registers record, namely sector, size, age and prior trajectory, and not on what they do not. Selection into a voluntary scheme runs on managerial ambition and the slack to write an application, the traits that also produce revenue growth, so the matched estimate retains an upward bias of unknown size. Neither scheme reaches firms that never apply.</w:t>
      </w:r>
    </w:p>
    <w:p>
      <w:pPr>
        <w:spacing w:before="0" w:after="120"/>
        <w:jc w:val="both"/>
      </w:pPr>
      <w:r>
        <w:rPr>
          <w:rFonts w:ascii="Times New Roman" w:hAnsi="Times New Roman"/>
          <w:b/>
          <w:i w:val="0"/>
          <w:sz w:val="24"/>
        </w:rPr>
        <w:t>Recommended improvement.</w:t>
      </w:r>
      <w:r>
        <w:rPr>
          <w:rFonts w:ascii="Times New Roman" w:hAnsi="Times New Roman"/>
          <w:b w:val="0"/>
          <w:i w:val="0"/>
          <w:sz w:val="24"/>
        </w:rPr>
        <w:t xml:space="preserve"> SMV:Digital already scores applicants, so it already produces a funding threshold; it simply discards the information. Near the cut-off, whether a firm is funded turns on assessor variation rather than on the firm, which makes applicants just above and just below comparable on exactly the unobservables that defeat matching. Retaining the scores and publishing the cut-off would allow a regression discontinuity estimate at administrative cost only (Appendix B).</w:t>
      </w:r>
    </w:p>
    <w:p>
      <w:pPr>
        <w:spacing w:before="160" w:after="40"/>
        <w:jc w:val="center"/>
      </w:pPr>
      <w:r>
        <w:drawing>
          <wp:inline xmlns:a="http://schemas.openxmlformats.org/drawingml/2006/main" xmlns:pic="http://schemas.openxmlformats.org/drawingml/2006/picture">
            <wp:extent cx="5580000" cy="2945192"/>
            <wp:docPr id="5" name="Picture 5"/>
            <wp:cNvGraphicFramePr>
              <a:graphicFrameLocks noChangeAspect="1"/>
            </wp:cNvGraphicFramePr>
            <a:graphic>
              <a:graphicData uri="http://schemas.openxmlformats.org/drawingml/2006/picture">
                <pic:pic>
                  <pic:nvPicPr>
                    <pic:cNvPr id="0" name="fig4_esales.png"/>
                    <pic:cNvPicPr/>
                  </pic:nvPicPr>
                  <pic:blipFill>
                    <a:blip r:embed="rId14"/>
                    <a:stretch>
                      <a:fillRect/>
                    </a:stretch>
                  </pic:blipFill>
                  <pic:spPr>
                    <a:xfrm>
                      <a:off x="0" y="0"/>
                      <a:ext cx="5580000" cy="2945192"/>
                    </a:xfrm>
                    <a:prstGeom prst="rect"/>
                  </pic:spPr>
                </pic:pic>
              </a:graphicData>
            </a:graphic>
          </wp:inline>
        </w:drawing>
      </w:r>
    </w:p>
    <w:p>
      <w:pPr>
        <w:spacing w:before="0" w:after="200" w:line="240" w:lineRule="auto"/>
        <w:jc w:val="center"/>
      </w:pPr>
      <w:r>
        <w:rPr>
          <w:rFonts w:ascii="Times New Roman" w:hAnsi="Times New Roman"/>
          <w:b w:val="0"/>
          <w:i/>
          <w:sz w:val="20"/>
        </w:rPr>
        <w:t>Figure 5. E-sales share of enterprise turnover, Denmark and EU-27, 2014 and 2024. Eurostat; workbook F3.</w:t>
      </w:r>
    </w:p>
    <w:p>
      <w:pPr>
        <w:spacing w:before="160" w:after="40"/>
        <w:jc w:val="center"/>
      </w:pPr>
      <w:r>
        <w:drawing>
          <wp:inline xmlns:a="http://schemas.openxmlformats.org/drawingml/2006/main" xmlns:pic="http://schemas.openxmlformats.org/drawingml/2006/picture">
            <wp:extent cx="5580000" cy="3148665"/>
            <wp:docPr id="6" name="Picture 6"/>
            <wp:cNvGraphicFramePr>
              <a:graphicFrameLocks noChangeAspect="1"/>
            </wp:cNvGraphicFramePr>
            <a:graphic>
              <a:graphicData uri="http://schemas.openxmlformats.org/drawingml/2006/picture">
                <pic:pic>
                  <pic:nvPicPr>
                    <pic:cNvPr id="0" name="fig5_ai_firmsize.png"/>
                    <pic:cNvPicPr/>
                  </pic:nvPicPr>
                  <pic:blipFill>
                    <a:blip r:embed="rId15"/>
                    <a:stretch>
                      <a:fillRect/>
                    </a:stretch>
                  </pic:blipFill>
                  <pic:spPr>
                    <a:xfrm>
                      <a:off x="0" y="0"/>
                      <a:ext cx="5580000" cy="3148665"/>
                    </a:xfrm>
                    <a:prstGeom prst="rect"/>
                  </pic:spPr>
                </pic:pic>
              </a:graphicData>
            </a:graphic>
          </wp:inline>
        </w:drawing>
      </w:r>
    </w:p>
    <w:p>
      <w:pPr>
        <w:spacing w:before="0" w:after="200" w:line="240" w:lineRule="auto"/>
        <w:jc w:val="center"/>
      </w:pPr>
      <w:r>
        <w:rPr>
          <w:rFonts w:ascii="Times New Roman" w:hAnsi="Times New Roman"/>
          <w:b w:val="0"/>
          <w:i/>
          <w:sz w:val="20"/>
        </w:rPr>
        <w:t>Figure 6. AI adoption by firm size, Denmark 2025. European Commission; workbook F7.</w:t>
      </w:r>
    </w:p>
    <w:p>
      <w:pPr>
        <w:spacing w:before="240" w:after="120"/>
        <w:jc w:val="left"/>
      </w:pPr>
      <w:r>
        <w:rPr>
          <w:rFonts w:ascii="Times New Roman" w:hAnsi="Times New Roman"/>
          <w:b/>
          <w:i w:val="0"/>
          <w:sz w:val="26"/>
        </w:rPr>
        <w:t>Question 3. Digitalisation and Sustainable Development Goal 12</w:t>
      </w:r>
    </w:p>
    <w:p>
      <w:pPr>
        <w:spacing w:before="0" w:after="120"/>
        <w:jc w:val="both"/>
      </w:pPr>
      <w:r>
        <w:rPr>
          <w:rFonts w:ascii="Times New Roman" w:hAnsi="Times New Roman"/>
          <w:b w:val="0"/>
          <w:i w:val="0"/>
          <w:sz w:val="24"/>
        </w:rPr>
        <w:t>Sustainable Development Goal 12, on responsible consumption and production, is the goal Danish digitalisation has most clearly moved, and it has moved it in both directions. Digital infrastructure substitutes information for materials at the point of use and creates a new material stream at disposal. Denmark is unusually far along the first and far behind on the second.</w:t>
      </w:r>
    </w:p>
    <w:p>
      <w:pPr>
        <w:spacing w:before="0" w:after="120"/>
        <w:jc w:val="both"/>
      </w:pPr>
      <w:r>
        <w:rPr>
          <w:rFonts w:ascii="Times New Roman" w:hAnsi="Times New Roman"/>
          <w:b/>
          <w:i w:val="0"/>
          <w:sz w:val="24"/>
        </w:rPr>
        <w:t>Positive contribution.</w:t>
      </w:r>
      <w:r>
        <w:rPr>
          <w:rFonts w:ascii="Times New Roman" w:hAnsi="Times New Roman"/>
          <w:b w:val="0"/>
          <w:i w:val="0"/>
          <w:sz w:val="24"/>
        </w:rPr>
        <w:t xml:space="preserve"> The mandate's audited benefit is a dematerialisation benefit. Rigsrevisionen (2016) could verify roughly DKK 450 million a year of the projected saving from compulsory Digital Post, and the verified component is precisely postage, paper and envelopes. That is a financial figure rather than a tonnage, so it prices the paper avoided rather than weighing it, but the substitution covers correspondence with every adult in the country. Payments show the same substitution privately: cash fell from 23% to 9% of physical retail payments between 2017 and 2025 (Danmarks Nationalbank 2025). That is a share rather than a volume, so it establishes the direction of the substitution and not its quantity.</w:t>
      </w:r>
    </w:p>
    <w:p>
      <w:pPr>
        <w:spacing w:before="0" w:after="120"/>
        <w:jc w:val="both"/>
      </w:pPr>
      <w:r>
        <w:rPr>
          <w:rFonts w:ascii="Times New Roman" w:hAnsi="Times New Roman"/>
          <w:b/>
          <w:i w:val="0"/>
          <w:sz w:val="24"/>
        </w:rPr>
        <w:t>The remaining challenge.</w:t>
      </w:r>
      <w:r>
        <w:rPr>
          <w:rFonts w:ascii="Times New Roman" w:hAnsi="Times New Roman"/>
          <w:b w:val="0"/>
          <w:i w:val="0"/>
          <w:sz w:val="24"/>
        </w:rPr>
        <w:t xml:space="preserve"> Denmark performs the disposal side badly. The European Commission (2026) reports that Denmark recycled or prepared for reuse 15.37% of the ICT waste it collected in 2023, against an EU-27 average of 80.23%, a gap of roughly 65 percentage points (Figure 7). The denominator matters and narrows the claim: the base is ICT waste </w:t>
      </w:r>
      <w:r>
        <w:rPr>
          <w:rFonts w:ascii="Times New Roman" w:hAnsi="Times New Roman"/>
          <w:b w:val="0"/>
          <w:i/>
          <w:sz w:val="24"/>
        </w:rPr>
        <w:t>collected</w:t>
      </w:r>
      <w:r>
        <w:rPr>
          <w:rFonts w:ascii="Times New Roman" w:hAnsi="Times New Roman"/>
          <w:b w:val="0"/>
          <w:i w:val="0"/>
          <w:sz w:val="24"/>
        </w:rPr>
        <w:t>, so the indicator describes what happens to devices that reach the waste stream and is silent on how many never do. On the measure that exists, a country at or near the top of the Union on almost every digital indicator sits near the bottom on this one.</w:t>
      </w:r>
    </w:p>
    <w:p>
      <w:pPr>
        <w:spacing w:before="0" w:after="120"/>
        <w:jc w:val="both"/>
      </w:pPr>
      <w:r>
        <w:rPr>
          <w:rFonts w:ascii="Times New Roman" w:hAnsi="Times New Roman"/>
          <w:b/>
          <w:i w:val="0"/>
          <w:sz w:val="24"/>
        </w:rPr>
        <w:t>Indicator trend.</w:t>
      </w:r>
      <w:r>
        <w:rPr>
          <w:rFonts w:ascii="Times New Roman" w:hAnsi="Times New Roman"/>
          <w:b w:val="0"/>
          <w:i w:val="0"/>
          <w:sz w:val="24"/>
        </w:rPr>
        <w:t xml:space="preserve"> No trend can be reported. The source publishes a single year for this indicator, so 15.37% is a level and not a direction, and no claim is made about whether Danish performance is improving.</w:t>
      </w:r>
    </w:p>
    <w:p>
      <w:pPr>
        <w:spacing w:before="0" w:after="120"/>
        <w:jc w:val="both"/>
      </w:pPr>
      <w:r>
        <w:rPr>
          <w:rFonts w:ascii="Times New Roman" w:hAnsi="Times New Roman"/>
          <w:b/>
          <w:i w:val="0"/>
          <w:sz w:val="24"/>
        </w:rPr>
        <w:t>What this implies.</w:t>
      </w:r>
      <w:r>
        <w:rPr>
          <w:rFonts w:ascii="Times New Roman" w:hAnsi="Times New Roman"/>
          <w:b w:val="0"/>
          <w:i w:val="0"/>
          <w:sz w:val="24"/>
        </w:rPr>
        <w:t xml:space="preserve"> The two halves are connected by the same policy. A mandate requiring every adult to transact digitally also requires every adult to hold a device capable of running MitID, and that obligation was justified on an administrative saving alone. The environmental case for Danish digitalisation has been made on dematerialisation; the circularity side of the same goal is where its measured performance is weakest.</w:t>
      </w:r>
    </w:p>
    <w:p>
      <w:pPr>
        <w:spacing w:before="160" w:after="40"/>
        <w:jc w:val="center"/>
      </w:pPr>
      <w:r>
        <w:drawing>
          <wp:inline xmlns:a="http://schemas.openxmlformats.org/drawingml/2006/main" xmlns:pic="http://schemas.openxmlformats.org/drawingml/2006/picture">
            <wp:extent cx="5580000" cy="2212651"/>
            <wp:docPr id="7" name="Picture 7"/>
            <wp:cNvGraphicFramePr>
              <a:graphicFrameLocks noChangeAspect="1"/>
            </wp:cNvGraphicFramePr>
            <a:graphic>
              <a:graphicData uri="http://schemas.openxmlformats.org/drawingml/2006/picture">
                <pic:pic>
                  <pic:nvPicPr>
                    <pic:cNvPr id="0" name="fig9_ewaste.png"/>
                    <pic:cNvPicPr/>
                  </pic:nvPicPr>
                  <pic:blipFill>
                    <a:blip r:embed="rId16"/>
                    <a:stretch>
                      <a:fillRect/>
                    </a:stretch>
                  </pic:blipFill>
                  <pic:spPr>
                    <a:xfrm>
                      <a:off x="0" y="0"/>
                      <a:ext cx="5580000" cy="2212651"/>
                    </a:xfrm>
                    <a:prstGeom prst="rect"/>
                  </pic:spPr>
                </pic:pic>
              </a:graphicData>
            </a:graphic>
          </wp:inline>
        </w:drawing>
      </w:r>
    </w:p>
    <w:p>
      <w:pPr>
        <w:spacing w:before="0" w:after="200" w:line="240" w:lineRule="auto"/>
        <w:jc w:val="center"/>
      </w:pPr>
      <w:r>
        <w:rPr>
          <w:rFonts w:ascii="Times New Roman" w:hAnsi="Times New Roman"/>
          <w:b w:val="0"/>
          <w:i/>
          <w:sz w:val="20"/>
        </w:rPr>
        <w:t>Figure 7. ICT waste recycled or prepared for reuse, 2023. European Commission; workbook F11_EWASTE.</w:t>
      </w:r>
    </w:p>
    <w:p>
      <w:pPr>
        <w:spacing w:before="240" w:after="120"/>
        <w:jc w:val="left"/>
      </w:pPr>
      <w:r>
        <w:rPr>
          <w:rFonts w:ascii="Times New Roman" w:hAnsi="Times New Roman"/>
          <w:b/>
          <w:i w:val="0"/>
          <w:sz w:val="26"/>
        </w:rPr>
        <w:t>Question 4. Digital inclusion: older citizens and the Digital Post mandate</w:t>
      </w:r>
    </w:p>
    <w:p>
      <w:pPr>
        <w:spacing w:before="0" w:after="120"/>
        <w:jc w:val="both"/>
      </w:pPr>
      <w:r>
        <w:rPr>
          <w:rFonts w:ascii="Times New Roman" w:hAnsi="Times New Roman"/>
          <w:b/>
          <w:i w:val="0"/>
          <w:sz w:val="24"/>
        </w:rPr>
        <w:t>The group and the policy.</w:t>
      </w:r>
      <w:r>
        <w:rPr>
          <w:rFonts w:ascii="Times New Roman" w:hAnsi="Times New Roman"/>
          <w:b w:val="0"/>
          <w:i w:val="0"/>
          <w:sz w:val="24"/>
        </w:rPr>
        <w:t xml:space="preserve"> The mandate falls most heavily on the oldest citizens, whose only relief is statutory exemption from Digital Post. Digitaliseringsstyrelsen (2026) reports that nearly one citizen in five aged 75 to 84 holds a formal exemption, rising to roughly one in three among those 85 and over. Those are 2022 figures against a 2026 rate below, so the two are complementary rather than points on a trend.</w:t>
      </w:r>
    </w:p>
    <w:p>
      <w:pPr>
        <w:spacing w:before="0" w:after="120"/>
        <w:jc w:val="both"/>
      </w:pPr>
      <w:r>
        <w:rPr>
          <w:rFonts w:ascii="Times New Roman" w:hAnsi="Times New Roman"/>
          <w:b/>
          <w:i w:val="0"/>
          <w:sz w:val="24"/>
        </w:rPr>
        <w:t>Effectiveness, and what the headline conceals.</w:t>
      </w:r>
      <w:r>
        <w:rPr>
          <w:rFonts w:ascii="Times New Roman" w:hAnsi="Times New Roman"/>
          <w:b w:val="0"/>
          <w:i w:val="0"/>
          <w:sz w:val="24"/>
        </w:rPr>
        <w:t xml:space="preserve"> The measure on which Denmark ranks first is the one least able to detect this problem. The Eurostat survey behind the 98.5% asks only whether a person interacted online at all, once, in twelve months: it records reach, and is silent on whether the attempt succeeded or was made independently (Figure 8). In the first quarter of 2026, 4.7% of citizens aged 15 and over, or 238,479 people, were exempt, the narrowest available measure of the problem; Figure 9 sets it against four wider estimates that are not comparable because measure, year and denominator all differ, and Appendix C reconciles them. The European Commission (2026) reports that 6.5% of Danes do not use digital public services and 16.5% report difficulty using them, while Digitaliseringsstyrelsen (2025c) and Justitia (2022) put the widest estimates at about a quarter of adults. The counts are clearer than the percentages: 16.5% of 6,025,603 (Danmarks Statistik 2026) is roughly 994,000 against 238,479 exempt, so on the order of three-quarters of a million Danes struggle with a compulsory system while holding no standing outside it.</w:t>
      </w:r>
    </w:p>
    <w:p>
      <w:pPr>
        <w:spacing w:before="0" w:after="120"/>
        <w:jc w:val="both"/>
      </w:pPr>
      <w:r>
        <w:rPr>
          <w:rFonts w:ascii="Times New Roman" w:hAnsi="Times New Roman"/>
          <w:b/>
          <w:i w:val="0"/>
          <w:sz w:val="24"/>
        </w:rPr>
        <w:t>The barrier is administrative, not a skills deficit.</w:t>
      </w:r>
      <w:r>
        <w:rPr>
          <w:rFonts w:ascii="Times New Roman" w:hAnsi="Times New Roman"/>
          <w:b w:val="0"/>
          <w:i w:val="0"/>
          <w:sz w:val="24"/>
        </w:rPr>
        <w:t xml:space="preserve"> Denmark's weakest age band, those aged 55 to 74, reaches 67.81% with at least basic digital skills against an EU average of 42.60%, and leads the Union in all three bands (Figure 10). The mandate is calibrated above the bottom of its own distribution, and the exemption criteria are drawn more narrowly than the difficulty they relieve.</w:t>
      </w:r>
    </w:p>
    <w:p>
      <w:pPr>
        <w:spacing w:before="0" w:after="120"/>
        <w:jc w:val="both"/>
      </w:pPr>
      <w:r>
        <w:rPr>
          <w:rFonts w:ascii="Times New Roman" w:hAnsi="Times New Roman"/>
          <w:b/>
          <w:i w:val="0"/>
          <w:sz w:val="24"/>
        </w:rPr>
        <w:t>Recommendation.</w:t>
      </w:r>
      <w:r>
        <w:rPr>
          <w:rFonts w:ascii="Times New Roman" w:hAnsi="Times New Roman"/>
          <w:b w:val="0"/>
          <w:i w:val="0"/>
          <w:sz w:val="24"/>
        </w:rPr>
        <w:t xml:space="preserve"> The exemption criteria should be widened to admit documented difficulty rather than only the listed statutory grounds. Denmark has already solved the adjacent problem: Folketinget (2023) provided that from June 2023 an exempt citizen is entitled, on request, to a non-digital alternative to any mandatory self-service solution. That decoupled the channel from the obligation but left the qualifying criteria untouched, because the right runs only to those already exempt. The Conseil d'État (2022) and the Belgian Cour constitutionnelle (2025) have since attached the entitlement to the difficulty rather than to a prior status (Appendix D).</w:t>
      </w:r>
    </w:p>
    <w:p>
      <w:pPr>
        <w:spacing w:before="160" w:after="40"/>
        <w:jc w:val="center"/>
      </w:pPr>
      <w:r>
        <w:drawing>
          <wp:inline xmlns:a="http://schemas.openxmlformats.org/drawingml/2006/main" xmlns:pic="http://schemas.openxmlformats.org/drawingml/2006/picture">
            <wp:extent cx="5580000" cy="2271647"/>
            <wp:docPr id="8" name="Picture 8"/>
            <wp:cNvGraphicFramePr>
              <a:graphicFrameLocks noChangeAspect="1"/>
            </wp:cNvGraphicFramePr>
            <a:graphic>
              <a:graphicData uri="http://schemas.openxmlformats.org/drawingml/2006/picture">
                <pic:pic>
                  <pic:nvPicPr>
                    <pic:cNvPr id="0" name="fig10_reach.png"/>
                    <pic:cNvPicPr/>
                  </pic:nvPicPr>
                  <pic:blipFill>
                    <a:blip r:embed="rId17"/>
                    <a:stretch>
                      <a:fillRect/>
                    </a:stretch>
                  </pic:blipFill>
                  <pic:spPr>
                    <a:xfrm>
                      <a:off x="0" y="0"/>
                      <a:ext cx="5580000" cy="2271647"/>
                    </a:xfrm>
                    <a:prstGeom prst="rect"/>
                  </pic:spPr>
                </pic:pic>
              </a:graphicData>
            </a:graphic>
          </wp:inline>
        </w:drawing>
      </w:r>
    </w:p>
    <w:p>
      <w:pPr>
        <w:spacing w:before="0" w:after="200" w:line="240" w:lineRule="auto"/>
        <w:jc w:val="center"/>
      </w:pPr>
      <w:r>
        <w:rPr>
          <w:rFonts w:ascii="Times New Roman" w:hAnsi="Times New Roman"/>
          <w:b w:val="0"/>
          <w:i/>
          <w:sz w:val="20"/>
        </w:rPr>
        <w:t>Figure 8. E-government reach against the measures it cannot see, Denmark. Left panel, Eurostat isoc_ciegi_ac, individuals aged 16 to 74, 2024; right panel, European Commission and Digitaliseringsstyrelsen, 2026, each measure on its own base. The panels are not comparable and are never differenced; workbook F12_REACH.</w:t>
      </w:r>
    </w:p>
    <w:p>
      <w:pPr>
        <w:spacing w:before="160" w:after="40"/>
        <w:jc w:val="center"/>
      </w:pPr>
      <w:r>
        <w:drawing>
          <wp:inline xmlns:a="http://schemas.openxmlformats.org/drawingml/2006/main" xmlns:pic="http://schemas.openxmlformats.org/drawingml/2006/picture">
            <wp:extent cx="5580000" cy="3127852"/>
            <wp:docPr id="9" name="Picture 9"/>
            <wp:cNvGraphicFramePr>
              <a:graphicFrameLocks noChangeAspect="1"/>
            </wp:cNvGraphicFramePr>
            <a:graphic>
              <a:graphicData uri="http://schemas.openxmlformats.org/drawingml/2006/picture">
                <pic:pic>
                  <pic:nvPicPr>
                    <pic:cNvPr id="0" name="fig6_exclusion.png"/>
                    <pic:cNvPicPr/>
                  </pic:nvPicPr>
                  <pic:blipFill>
                    <a:blip r:embed="rId18"/>
                    <a:stretch>
                      <a:fillRect/>
                    </a:stretch>
                  </pic:blipFill>
                  <pic:spPr>
                    <a:xfrm>
                      <a:off x="0" y="0"/>
                      <a:ext cx="5580000" cy="3127852"/>
                    </a:xfrm>
                    <a:prstGeom prst="rect"/>
                  </pic:spPr>
                </pic:pic>
              </a:graphicData>
            </a:graphic>
          </wp:inline>
        </w:drawing>
      </w:r>
    </w:p>
    <w:p>
      <w:pPr>
        <w:spacing w:before="0" w:after="200" w:line="240" w:lineRule="auto"/>
        <w:jc w:val="center"/>
      </w:pPr>
      <w:r>
        <w:rPr>
          <w:rFonts w:ascii="Times New Roman" w:hAnsi="Times New Roman"/>
          <w:b w:val="0"/>
          <w:i/>
          <w:sz w:val="20"/>
        </w:rPr>
        <w:t>Figure 9. Five estimates of Danish digital exclusion; denominators and years differ. Workbook F4.</w:t>
      </w:r>
    </w:p>
    <w:p>
      <w:pPr>
        <w:spacing w:before="160" w:after="40"/>
        <w:jc w:val="center"/>
      </w:pPr>
      <w:r>
        <w:drawing>
          <wp:inline xmlns:a="http://schemas.openxmlformats.org/drawingml/2006/main" xmlns:pic="http://schemas.openxmlformats.org/drawingml/2006/picture">
            <wp:extent cx="5580000" cy="3282553"/>
            <wp:docPr id="10" name="Picture 10"/>
            <wp:cNvGraphicFramePr>
              <a:graphicFrameLocks noChangeAspect="1"/>
            </wp:cNvGraphicFramePr>
            <a:graphic>
              <a:graphicData uri="http://schemas.openxmlformats.org/drawingml/2006/picture">
                <pic:pic>
                  <pic:nvPicPr>
                    <pic:cNvPr id="0" name="fig7_skills.png"/>
                    <pic:cNvPicPr/>
                  </pic:nvPicPr>
                  <pic:blipFill>
                    <a:blip r:embed="rId19"/>
                    <a:stretch>
                      <a:fillRect/>
                    </a:stretch>
                  </pic:blipFill>
                  <pic:spPr>
                    <a:xfrm>
                      <a:off x="0" y="0"/>
                      <a:ext cx="5580000" cy="3282553"/>
                    </a:xfrm>
                    <a:prstGeom prst="rect"/>
                  </pic:spPr>
                </pic:pic>
              </a:graphicData>
            </a:graphic>
          </wp:inline>
        </w:drawing>
      </w:r>
    </w:p>
    <w:p>
      <w:pPr>
        <w:spacing w:before="0" w:after="200" w:line="240" w:lineRule="auto"/>
        <w:jc w:val="center"/>
      </w:pPr>
      <w:r>
        <w:rPr>
          <w:rFonts w:ascii="Times New Roman" w:hAnsi="Times New Roman"/>
          <w:b w:val="0"/>
          <w:i/>
          <w:sz w:val="20"/>
        </w:rPr>
        <w:t>Figure 10. Basic digital skills by age band, Denmark and EU-27, 2025. European Commission; workbook F10.</w:t>
      </w:r>
    </w:p>
    <w:p>
      <w:pPr>
        <w:spacing w:before="240" w:after="120"/>
        <w:jc w:val="left"/>
      </w:pPr>
      <w:r>
        <w:rPr>
          <w:rFonts w:ascii="Times New Roman" w:hAnsi="Times New Roman"/>
          <w:b/>
          <w:i w:val="0"/>
          <w:sz w:val="26"/>
        </w:rPr>
        <w:t>Question 5. Guest speaker reflection: AI, sustainability and the Danish digital economy</w:t>
      </w:r>
    </w:p>
    <w:p>
      <w:pPr>
        <w:spacing w:before="0" w:after="120"/>
        <w:jc w:val="both"/>
      </w:pPr>
      <w:r>
        <w:rPr>
          <w:rFonts w:ascii="Times New Roman" w:hAnsi="Times New Roman"/>
          <w:b w:val="0"/>
          <w:i w:val="0"/>
          <w:sz w:val="24"/>
        </w:rPr>
        <w:t>The session addressed corporate sustainability at PwC rather than digital government, and the connection to Denmark was not one I expected. It rests on an idea running through both halves of the talk: adoption is easy to claim and effect is hard to prove, and what separates them is who does the measuring.</w:t>
      </w:r>
    </w:p>
    <w:p>
      <w:pPr>
        <w:spacing w:before="0" w:after="120"/>
        <w:jc w:val="both"/>
      </w:pPr>
      <w:r>
        <w:rPr>
          <w:rFonts w:ascii="Times New Roman" w:hAnsi="Times New Roman"/>
          <w:b w:val="0"/>
          <w:i w:val="0"/>
          <w:sz w:val="24"/>
        </w:rPr>
        <w:t>Tran (2026) reported that in a PwC survey of Asia-Pacific chief executives, 82% had adopted generative artificial intelligence within five years while far fewer could identify revenue attributable to it. Denmark shows the same gap. Adoption is high by European standards at 42.03% of enterprises and it is concentrated, 74.52% of large firms against 40.99% of small and medium ones. Access has been distributed and capability has not, which is the finding Question 2 reaches from Danish evidence and the guest speaker reached from a regional survey.</w:t>
      </w:r>
    </w:p>
    <w:p>
      <w:pPr>
        <w:spacing w:before="0" w:after="120"/>
        <w:jc w:val="both"/>
      </w:pPr>
      <w:r>
        <w:rPr>
          <w:rFonts w:ascii="Times New Roman" w:hAnsi="Times New Roman"/>
          <w:b w:val="0"/>
          <w:i w:val="0"/>
          <w:sz w:val="24"/>
        </w:rPr>
        <w:t>The sustainability half supplied the test. Tran's position was that a corporate net zero commitment means little unless an external body has validated it, because an unvalidated commitment is one the claimant grades itself; PwC's own reduction of 22% against a 2019 baseline is stated against a target the Science Based Targets initiative validated. Applied to Denmark, that standard is uncomfortable. SMV:Digital's headline figures are reported by participants to the body funding the scheme (Digitaliseringsstyrelsen 2025b), which is why Question 2 recommends an evaluation the agency does not run. Question 3 meets the same standard from the other side: Denmark's position on ICT waste recovery is measured externally rather than self-reported, which is why it can be stated at all.</w:t>
      </w:r>
    </w:p>
    <w:p>
      <w:pPr>
        <w:spacing w:before="0" w:after="120"/>
        <w:jc w:val="both"/>
      </w:pPr>
      <w:r>
        <w:rPr>
          <w:rFonts w:ascii="Times New Roman" w:hAnsi="Times New Roman"/>
          <w:b w:val="0"/>
          <w:i w:val="0"/>
          <w:sz w:val="24"/>
        </w:rPr>
        <w:t>One detail transfers directly to policy. Tran put the cost of that validation at USD 10,000 to 25,000, which in practice restricts it to large corporations, and described publicly funded programmes extending equivalent capability to smaller firms. That is the same instrument, and the same justification, as SMV:Digital. A fixed cost of proving anything, emissions or returns, is heavier the smaller the firm bearing it.</w:t>
      </w:r>
    </w:p>
    <w:p>
      <w:r>
        <w:br w:type="page"/>
      </w:r>
    </w:p>
    <w:p>
      <w:pPr>
        <w:spacing w:before="0" w:after="160"/>
        <w:jc w:val="left"/>
      </w:pPr>
      <w:r>
        <w:rPr>
          <w:rFonts w:ascii="Times New Roman" w:hAnsi="Times New Roman"/>
          <w:b/>
          <w:i w:val="0"/>
          <w:sz w:val="26"/>
        </w:rPr>
        <w:t>References</w:t>
      </w:r>
    </w:p>
    <w:p>
      <w:pPr>
        <w:spacing w:before="0" w:after="160"/>
        <w:ind w:left="720" w:hanging="720"/>
        <w:jc w:val="left"/>
      </w:pPr>
      <w:r>
        <w:rPr>
          <w:rFonts w:ascii="Times New Roman" w:hAnsi="Times New Roman"/>
          <w:b w:val="0"/>
          <w:i w:val="0"/>
          <w:sz w:val="24"/>
        </w:rPr>
        <w:t>Bundesrechnungshof 2022, Bemerkungen 2022 zur Haushalts- und Wirtschaftsführung des Bundes, German Federal Court of Auditors, accessed 13 September 2026, &lt;https://www.bundesrechnungshof.de/SharedDocs/Pressemitteilungen/DE/2022/bemerkungen2022-hauptband.html&gt;.</w:t>
      </w:r>
    </w:p>
    <w:p>
      <w:pPr>
        <w:spacing w:before="0" w:after="160"/>
        <w:ind w:left="720" w:hanging="720"/>
        <w:jc w:val="left"/>
      </w:pPr>
      <w:r>
        <w:rPr>
          <w:rFonts w:ascii="Times New Roman" w:hAnsi="Times New Roman"/>
          <w:b w:val="0"/>
          <w:i w:val="0"/>
          <w:sz w:val="24"/>
        </w:rPr>
        <w:t>Conseil d'État 2022, Decision No. 452798, 3 June 2022, Conseil d'État, Paris, accessed 13 September 2026, &lt;https://www.conseil-etat.fr/fr/arianeweb/CE/decision/2022-06-03/452798&gt;.</w:t>
      </w:r>
    </w:p>
    <w:p>
      <w:pPr>
        <w:spacing w:before="0" w:after="160"/>
        <w:ind w:left="720" w:hanging="720"/>
        <w:jc w:val="left"/>
      </w:pPr>
      <w:r>
        <w:rPr>
          <w:rFonts w:ascii="Times New Roman" w:hAnsi="Times New Roman"/>
          <w:b w:val="0"/>
          <w:i w:val="0"/>
          <w:sz w:val="24"/>
        </w:rPr>
        <w:t>Cour constitutionnelle 2025, Arrêt no. 126/2025, 25 September 2025, ECLI:BE:GHCC:2025:ARR.126, Cour constitutionnelle, Brussels, accessed 13 September 2026, &lt;https://fr.const-court.be/public/f/2025/2025-126f.pdf&gt;.</w:t>
      </w:r>
    </w:p>
    <w:p>
      <w:pPr>
        <w:spacing w:before="0" w:after="160"/>
        <w:ind w:left="720" w:hanging="720"/>
        <w:jc w:val="left"/>
      </w:pPr>
      <w:r>
        <w:rPr>
          <w:rFonts w:ascii="Times New Roman" w:hAnsi="Times New Roman"/>
          <w:b w:val="0"/>
          <w:i w:val="0"/>
          <w:sz w:val="24"/>
        </w:rPr>
        <w:t>Danmarks Nationalbank 2025, Danskernes betalingsvaner, Danmarks Nationalbank, Copenhagen, accessed 12 September 2026, &lt;https://www.nationalbanken.dk/en/what-we-do/safe-and-efficient-payments/payment-habits-in-denmark&gt;.</w:t>
      </w:r>
    </w:p>
    <w:p>
      <w:pPr>
        <w:spacing w:before="0" w:after="160"/>
        <w:ind w:left="720" w:hanging="720"/>
        <w:jc w:val="left"/>
      </w:pPr>
      <w:r>
        <w:rPr>
          <w:rFonts w:ascii="Times New Roman" w:hAnsi="Times New Roman"/>
          <w:b w:val="0"/>
          <w:i w:val="0"/>
          <w:sz w:val="24"/>
        </w:rPr>
        <w:t>Danmarks Statistik 2026, Befolkningstal, Statistics Denmark, Copenhagen, accessed 12 September 2026.</w:t>
      </w:r>
    </w:p>
    <w:p>
      <w:pPr>
        <w:spacing w:before="0" w:after="160"/>
        <w:ind w:left="720" w:hanging="720"/>
        <w:jc w:val="left"/>
      </w:pPr>
      <w:r>
        <w:rPr>
          <w:rFonts w:ascii="Times New Roman" w:hAnsi="Times New Roman"/>
          <w:b w:val="0"/>
          <w:i w:val="0"/>
          <w:sz w:val="24"/>
        </w:rPr>
        <w:t>Denmark 2012, Lov om Offentlig Digital Post (LOV nr 528 af 11/06/2012), Retsinformation, Copenhagen, accessed 12 September 2026.</w:t>
      </w:r>
    </w:p>
    <w:p>
      <w:pPr>
        <w:spacing w:before="0" w:after="160"/>
        <w:ind w:left="720" w:hanging="720"/>
        <w:jc w:val="left"/>
      </w:pPr>
      <w:r>
        <w:rPr>
          <w:rFonts w:ascii="Times New Roman" w:hAnsi="Times New Roman"/>
          <w:b w:val="0"/>
          <w:i w:val="0"/>
          <w:sz w:val="24"/>
        </w:rPr>
        <w:t>Digitaliseringsdirektoratet 2025, Kontakt- og reservasjonsregisteret, Norwegian Digitalisation Agency, accessed 13 September 2026, &lt;https://www.digdir.no/digitale-felleslosninger/kontakt-og-reservasjonsregisteret-krr/865&gt;.</w:t>
      </w:r>
    </w:p>
    <w:p>
      <w:pPr>
        <w:spacing w:before="0" w:after="160"/>
        <w:ind w:left="720" w:hanging="720"/>
        <w:jc w:val="left"/>
      </w:pPr>
      <w:r>
        <w:rPr>
          <w:rFonts w:ascii="Times New Roman" w:hAnsi="Times New Roman"/>
          <w:b w:val="0"/>
          <w:i w:val="0"/>
          <w:sz w:val="24"/>
        </w:rPr>
        <w:t>Digitaliseringsstyrelsen 2025a, Digital Post – lovgivning, Agency for Digital Government, Copenhagen, accessed 12 September 2026.</w:t>
      </w:r>
    </w:p>
    <w:p>
      <w:pPr>
        <w:spacing w:before="0" w:after="160"/>
        <w:ind w:left="720" w:hanging="720"/>
        <w:jc w:val="left"/>
      </w:pPr>
      <w:r>
        <w:rPr>
          <w:rFonts w:ascii="Times New Roman" w:hAnsi="Times New Roman"/>
          <w:b w:val="0"/>
          <w:i w:val="0"/>
          <w:sz w:val="24"/>
        </w:rPr>
        <w:t>Digitaliseringsstyrelsen 2025b, Effektmåling af SMV:Digital, prepared by Danmarks Statistik, Agency for Digital Government, Copenhagen, accessed 12 September 2026, &lt;https://digst.dk/media/yz2ouzzz/effektmaaling-af-smvdigital-2025.pdf&gt;.</w:t>
      </w:r>
    </w:p>
    <w:p>
      <w:pPr>
        <w:spacing w:before="0" w:after="160"/>
        <w:ind w:left="720" w:hanging="720"/>
        <w:jc w:val="left"/>
      </w:pPr>
      <w:r>
        <w:rPr>
          <w:rFonts w:ascii="Times New Roman" w:hAnsi="Times New Roman"/>
          <w:b w:val="0"/>
          <w:i w:val="0"/>
          <w:sz w:val="24"/>
        </w:rPr>
        <w:t>Digitaliseringsstyrelsen 2025c, Hvem oplever udfordringer ved det digitale?, Agency for Digital Government, Copenhagen, accessed 12 September 2026.</w:t>
      </w:r>
    </w:p>
    <w:p>
      <w:pPr>
        <w:spacing w:before="0" w:after="160"/>
        <w:ind w:left="720" w:hanging="720"/>
        <w:jc w:val="left"/>
      </w:pPr>
      <w:r>
        <w:rPr>
          <w:rFonts w:ascii="Times New Roman" w:hAnsi="Times New Roman"/>
          <w:b w:val="0"/>
          <w:i w:val="0"/>
          <w:sz w:val="24"/>
        </w:rPr>
        <w:t>Digitaliseringsstyrelsen 2026, Statistik om Digital Post, Agency for Digital Government, Copenhagen, accessed 12 September 2026.</w:t>
      </w:r>
    </w:p>
    <w:p>
      <w:pPr>
        <w:spacing w:before="0" w:after="160"/>
        <w:ind w:left="720" w:hanging="720"/>
        <w:jc w:val="left"/>
      </w:pPr>
      <w:r>
        <w:rPr>
          <w:rFonts w:ascii="Times New Roman" w:hAnsi="Times New Roman"/>
          <w:b w:val="0"/>
          <w:i w:val="0"/>
          <w:sz w:val="24"/>
        </w:rPr>
        <w:t>European Commission 2026, Digital Decade 2026 country report: Denmark, SWD(2026) 155 final, Part 7/27, European Commission, Brussels.</w:t>
      </w:r>
    </w:p>
    <w:p>
      <w:pPr>
        <w:spacing w:before="0" w:after="160"/>
        <w:ind w:left="720" w:hanging="720"/>
        <w:jc w:val="left"/>
      </w:pPr>
      <w:r>
        <w:rPr>
          <w:rFonts w:ascii="Times New Roman" w:hAnsi="Times New Roman"/>
          <w:b w:val="0"/>
          <w:i w:val="0"/>
          <w:sz w:val="24"/>
        </w:rPr>
        <w:t>Eurostat 2025a, E-commerce statistics for individuals, European Commission, Luxembourg, accessed 12 September 2026.</w:t>
      </w:r>
    </w:p>
    <w:p>
      <w:pPr>
        <w:spacing w:before="0" w:after="160"/>
        <w:ind w:left="720" w:hanging="720"/>
        <w:jc w:val="left"/>
      </w:pPr>
      <w:r>
        <w:rPr>
          <w:rFonts w:ascii="Times New Roman" w:hAnsi="Times New Roman"/>
          <w:b w:val="0"/>
          <w:i w:val="0"/>
          <w:sz w:val="24"/>
        </w:rPr>
        <w:t>Eurostat 2025b, E-government activities of individuals via websites, dataset isoc_ciegi_ac, Eurostat, Luxembourg, accessed 14 September 2026, &lt;https://ec.europa.eu/eurostat/databrowser/view/isoc_ciegi_ac/default/table?lang=en&gt;.</w:t>
      </w:r>
    </w:p>
    <w:p>
      <w:pPr>
        <w:spacing w:before="0" w:after="160"/>
        <w:ind w:left="720" w:hanging="720"/>
        <w:jc w:val="left"/>
      </w:pPr>
      <w:r>
        <w:rPr>
          <w:rFonts w:ascii="Times New Roman" w:hAnsi="Times New Roman"/>
          <w:b w:val="0"/>
          <w:i w:val="0"/>
          <w:sz w:val="24"/>
        </w:rPr>
        <w:t>Eurostat 2025c, EU enterprises' online sales reach new heights, European Commission, Luxembourg, accessed 12 September 2026.</w:t>
      </w:r>
    </w:p>
    <w:p>
      <w:pPr>
        <w:spacing w:before="0" w:after="160"/>
        <w:ind w:left="720" w:hanging="720"/>
        <w:jc w:val="left"/>
      </w:pPr>
      <w:r>
        <w:rPr>
          <w:rFonts w:ascii="Times New Roman" w:hAnsi="Times New Roman"/>
          <w:b w:val="0"/>
          <w:i w:val="0"/>
          <w:sz w:val="24"/>
        </w:rPr>
        <w:t>Eurostat 2025d, Share of enterprises' turnover on e-commerce (tin00110), European Commission, Luxembourg, accessed 12 September 2026.</w:t>
      </w:r>
    </w:p>
    <w:p>
      <w:pPr>
        <w:spacing w:before="0" w:after="160"/>
        <w:ind w:left="720" w:hanging="720"/>
        <w:jc w:val="left"/>
      </w:pPr>
      <w:r>
        <w:rPr>
          <w:rFonts w:ascii="Times New Roman" w:hAnsi="Times New Roman"/>
          <w:b w:val="0"/>
          <w:i w:val="0"/>
          <w:sz w:val="24"/>
        </w:rPr>
        <w:t>Eurostat 2026, Internet purchases by individuals (2020 onwards), dataset isoc_ec_ib20, Statistical Office of the European Union, Luxembourg, data last updated 17 April 2026, accessed 12 September 2026, &lt;https://ec.europa.eu/eurostat/databrowser/view/isoc_ec_ib20/default/table?lang=en&gt;.</w:t>
      </w:r>
    </w:p>
    <w:p>
      <w:pPr>
        <w:spacing w:before="0" w:after="160"/>
        <w:ind w:left="720" w:hanging="720"/>
        <w:jc w:val="left"/>
      </w:pPr>
      <w:r>
        <w:rPr>
          <w:rFonts w:ascii="Times New Roman" w:hAnsi="Times New Roman"/>
          <w:b w:val="0"/>
          <w:i w:val="0"/>
          <w:sz w:val="24"/>
        </w:rPr>
        <w:t>Finans Danmark 2025, Institutter, filialer &amp; ansatte, Finans Danmark, Copenhagen, accessed 12 September 2026, &lt;https://finansdanmark.dk/tal-og-data/institutter-filialer-ansatte/&gt;.</w:t>
      </w:r>
    </w:p>
    <w:p>
      <w:pPr>
        <w:spacing w:before="0" w:after="160"/>
        <w:ind w:left="720" w:hanging="720"/>
        <w:jc w:val="left"/>
      </w:pPr>
      <w:r>
        <w:rPr>
          <w:rFonts w:ascii="Times New Roman" w:hAnsi="Times New Roman"/>
          <w:b w:val="0"/>
          <w:i w:val="0"/>
          <w:sz w:val="24"/>
        </w:rPr>
        <w:t>Folketinget 2023, Lov om fravigelse fra obligatorisk digital selvbetjening, LOV nr 603 af 31. maj 2023, in force 1 June 2023, Retsinformation, accessed 13 September 2026, &lt;https://www.retsinformation.dk/eli/lta/2023/603&gt;.</w:t>
      </w:r>
    </w:p>
    <w:p>
      <w:pPr>
        <w:spacing w:before="0" w:after="160"/>
        <w:ind w:left="720" w:hanging="720"/>
        <w:jc w:val="left"/>
      </w:pPr>
      <w:r>
        <w:rPr>
          <w:rFonts w:ascii="Times New Roman" w:hAnsi="Times New Roman"/>
          <w:b w:val="0"/>
          <w:i w:val="0"/>
          <w:sz w:val="24"/>
        </w:rPr>
        <w:t>Howell, ST 2017, 'Financing innovation: evidence from R&amp;D grants', American Economic Review, vol. 107, no. 4, pp. 1136-1164.</w:t>
      </w:r>
    </w:p>
    <w:p>
      <w:pPr>
        <w:spacing w:before="0" w:after="160"/>
        <w:ind w:left="720" w:hanging="720"/>
        <w:jc w:val="left"/>
      </w:pPr>
      <w:r>
        <w:rPr>
          <w:rFonts w:ascii="Times New Roman" w:hAnsi="Times New Roman"/>
          <w:b w:val="0"/>
          <w:i w:val="0"/>
          <w:sz w:val="24"/>
        </w:rPr>
        <w:t>Institut for Menneskerettigheder 2023, Rettigheder i den digitale velfærdsstat, Danish Institute for Human Rights, Copenhagen, accessed 12 September 2026.</w:t>
      </w:r>
    </w:p>
    <w:p>
      <w:pPr>
        <w:spacing w:before="0" w:after="160"/>
        <w:ind w:left="720" w:hanging="720"/>
        <w:jc w:val="left"/>
      </w:pPr>
      <w:r>
        <w:rPr>
          <w:rFonts w:ascii="Times New Roman" w:hAnsi="Times New Roman"/>
          <w:b w:val="0"/>
          <w:i w:val="0"/>
          <w:sz w:val="24"/>
        </w:rPr>
        <w:t>Justitia 2022, Retssikkerhed for digitalt udsatte borgere, Justitia, Copenhagen, accessed 12 September 2026.</w:t>
      </w:r>
    </w:p>
    <w:p>
      <w:pPr>
        <w:spacing w:before="0" w:after="160"/>
        <w:ind w:left="720" w:hanging="720"/>
        <w:jc w:val="left"/>
      </w:pPr>
      <w:r>
        <w:rPr>
          <w:rFonts w:ascii="Times New Roman" w:hAnsi="Times New Roman"/>
          <w:b w:val="0"/>
          <w:i w:val="0"/>
          <w:sz w:val="24"/>
        </w:rPr>
        <w:t>Rigsrevisionen 2016, Beretning om besparelsespotentialet ved obligatorisk Digital Post på ca. 1 mia. kr. om året, National Audit Office of Denmark, Copenhagen, accessed 12 September 2026.</w:t>
      </w:r>
    </w:p>
    <w:p>
      <w:pPr>
        <w:spacing w:before="0" w:after="160"/>
        <w:ind w:left="720" w:hanging="720"/>
        <w:jc w:val="left"/>
      </w:pPr>
      <w:r>
        <w:rPr>
          <w:rFonts w:ascii="Times New Roman" w:hAnsi="Times New Roman"/>
          <w:b w:val="0"/>
          <w:i w:val="0"/>
          <w:sz w:val="24"/>
        </w:rPr>
        <w:t>Santoleri, P, Barrows, G, Caravella, S, Crespi, F and Pellegrino, G 2022, The causal effects of R&amp;D grants: evidence from a regression discontinuity, working paper, accessed 13 September 2026, &lt;https://pietrosantoleri.github.io/files/Santoleri_et_al_The_effects_of_R_D_grants.pdf&gt;.</w:t>
      </w:r>
    </w:p>
    <w:p>
      <w:pPr>
        <w:spacing w:before="0" w:after="160"/>
        <w:ind w:left="720" w:hanging="720"/>
        <w:jc w:val="left"/>
      </w:pPr>
      <w:r>
        <w:rPr>
          <w:rFonts w:ascii="Times New Roman" w:hAnsi="Times New Roman"/>
          <w:b w:val="0"/>
          <w:i w:val="0"/>
          <w:sz w:val="24"/>
        </w:rPr>
        <w:t>SMV:Digital 2026, Tilskudspuljer i 2026, SMV:Digital, Copenhagen, accessed 12 September 2026.</w:t>
      </w:r>
    </w:p>
    <w:p>
      <w:pPr>
        <w:spacing w:before="0" w:after="160"/>
        <w:ind w:left="720" w:hanging="720"/>
        <w:jc w:val="left"/>
      </w:pPr>
      <w:r>
        <w:rPr>
          <w:rFonts w:ascii="Times New Roman" w:hAnsi="Times New Roman"/>
          <w:b w:val="0"/>
          <w:i w:val="0"/>
          <w:sz w:val="24"/>
        </w:rPr>
        <w:t>Tran, TT 2026, 'Guest speaker session: corporate sustainability and the adoption of artificial intelligence', guest lecture, ECON1596 Business Challenges in the Digital Economy, RMIT University Vietnam, Ho Chi Minh City, [LECTURE DATE: to be completed by the author].</w:t>
      </w:r>
    </w:p>
    <w:p>
      <w:r>
        <w:br w:type="page"/>
      </w:r>
    </w:p>
    <w:p>
      <w:pPr>
        <w:spacing w:before="0" w:after="160"/>
        <w:jc w:val="left"/>
      </w:pPr>
      <w:r>
        <w:rPr>
          <w:rFonts w:ascii="Times New Roman" w:hAnsi="Times New Roman"/>
          <w:b/>
          <w:i w:val="0"/>
          <w:sz w:val="26"/>
        </w:rPr>
        <w:t>Appendix A. Regression Diagnostics</w:t>
      </w:r>
    </w:p>
    <w:p>
      <w:pPr>
        <w:spacing w:before="0" w:after="120"/>
        <w:jc w:val="both"/>
      </w:pPr>
      <w:r>
        <w:rPr>
          <w:rFonts w:ascii="Times New Roman" w:hAnsi="Times New Roman"/>
          <w:b w:val="0"/>
          <w:i w:val="0"/>
          <w:sz w:val="24"/>
        </w:rPr>
        <w:t>This appendix supports the regression reported in Question 1. The cross-section is eighteen member states holding both measures for 2024: the share of internet users who purchased online (Eurostat 2026) and e-sales as a share of enterprise turnover (Eurostat 2025d). All computation is reproducible from `02_MASTER`; the workbook computes the same statistics as live formulas on sheet `F6_ADOPT_BENEFIT`.</w:t>
      </w:r>
    </w:p>
    <w:p>
      <w:pPr>
        <w:spacing w:before="160" w:after="80"/>
        <w:jc w:val="left"/>
      </w:pPr>
      <w:r>
        <w:rPr>
          <w:rFonts w:ascii="Times New Roman" w:hAnsi="Times New Roman"/>
          <w:b/>
          <w:i w:val="0"/>
          <w:sz w:val="24"/>
        </w:rPr>
        <w:t>A.1 The estimate</w:t>
      </w:r>
    </w:p>
    <w:tbl>
      <w:tblPr>
        <w:tblStyle w:val="TableGrid"/>
        <w:tblW w:type="auto" w:w="0"/>
        <w:tblLook w:firstColumn="1" w:firstRow="1" w:lastColumn="0" w:lastRow="0" w:noHBand="0" w:noVBand="1" w:val="04A0"/>
      </w:tblPr>
      <w:tblGrid>
        <w:gridCol w:w="4513"/>
        <w:gridCol w:w="4513"/>
      </w:tblGrid>
      <w:tr>
        <w:tc>
          <w:tcPr>
            <w:tcW w:type="dxa" w:w="4513"/>
          </w:tcPr>
          <w:p>
            <w:pPr>
              <w:spacing w:line="240" w:lineRule="auto" w:after="40"/>
            </w:pPr>
            <w:r>
              <w:rPr>
                <w:rFonts w:ascii="Times New Roman" w:hAnsi="Times New Roman"/>
                <w:b/>
                <w:sz w:val="20"/>
              </w:rPr>
              <w:t>Statistic</w:t>
            </w:r>
          </w:p>
        </w:tc>
        <w:tc>
          <w:tcPr>
            <w:tcW w:type="dxa" w:w="4513"/>
          </w:tcPr>
          <w:p>
            <w:pPr>
              <w:spacing w:line="240" w:lineRule="auto" w:after="40"/>
            </w:pPr>
            <w:r>
              <w:rPr>
                <w:rFonts w:ascii="Times New Roman" w:hAnsi="Times New Roman"/>
                <w:b/>
                <w:sz w:val="20"/>
              </w:rPr>
              <w:t>Value</w:t>
            </w:r>
          </w:p>
        </w:tc>
      </w:tr>
      <w:tr>
        <w:tc>
          <w:tcPr>
            <w:tcW w:type="dxa" w:w="4513"/>
          </w:tcPr>
          <w:p>
            <w:pPr>
              <w:spacing w:line="240" w:lineRule="auto" w:after="40"/>
            </w:pPr>
            <w:r>
              <w:rPr>
                <w:rFonts w:ascii="Times New Roman" w:hAnsi="Times New Roman"/>
                <w:b w:val="0"/>
                <w:sz w:val="20"/>
              </w:rPr>
              <w:t>Slope</w:t>
            </w:r>
          </w:p>
        </w:tc>
        <w:tc>
          <w:tcPr>
            <w:tcW w:type="dxa" w:w="4513"/>
          </w:tcPr>
          <w:p>
            <w:pPr>
              <w:spacing w:line="240" w:lineRule="auto" w:after="40"/>
            </w:pPr>
            <w:r>
              <w:rPr>
                <w:rFonts w:ascii="Times New Roman" w:hAnsi="Times New Roman"/>
                <w:b w:val="0"/>
                <w:sz w:val="20"/>
              </w:rPr>
              <w:t>+0.6022 pp turnover per pp adoption</w:t>
            </w:r>
          </w:p>
        </w:tc>
      </w:tr>
      <w:tr>
        <w:tc>
          <w:tcPr>
            <w:tcW w:type="dxa" w:w="4513"/>
          </w:tcPr>
          <w:p>
            <w:pPr>
              <w:spacing w:line="240" w:lineRule="auto" w:after="40"/>
            </w:pPr>
            <w:r>
              <w:rPr>
                <w:rFonts w:ascii="Times New Roman" w:hAnsi="Times New Roman"/>
                <w:b w:val="0"/>
                <w:sz w:val="20"/>
              </w:rPr>
              <w:t>Standard error</w:t>
            </w:r>
          </w:p>
        </w:tc>
        <w:tc>
          <w:tcPr>
            <w:tcW w:type="dxa" w:w="4513"/>
          </w:tcPr>
          <w:p>
            <w:pPr>
              <w:spacing w:line="240" w:lineRule="auto" w:after="40"/>
            </w:pPr>
            <w:r>
              <w:rPr>
                <w:rFonts w:ascii="Times New Roman" w:hAnsi="Times New Roman"/>
                <w:b w:val="0"/>
                <w:sz w:val="20"/>
              </w:rPr>
              <w:t>0.1047</w:t>
            </w:r>
          </w:p>
        </w:tc>
      </w:tr>
      <w:tr>
        <w:tc>
          <w:tcPr>
            <w:tcW w:type="dxa" w:w="4513"/>
          </w:tcPr>
          <w:p>
            <w:pPr>
              <w:spacing w:line="240" w:lineRule="auto" w:after="40"/>
            </w:pPr>
            <w:r>
              <w:rPr>
                <w:rFonts w:ascii="Times New Roman" w:hAnsi="Times New Roman"/>
                <w:b w:val="0"/>
                <w:sz w:val="20"/>
              </w:rPr>
              <w:t>t (16 df)</w:t>
            </w:r>
          </w:p>
        </w:tc>
        <w:tc>
          <w:tcPr>
            <w:tcW w:type="dxa" w:w="4513"/>
          </w:tcPr>
          <w:p>
            <w:pPr>
              <w:spacing w:line="240" w:lineRule="auto" w:after="40"/>
            </w:pPr>
            <w:r>
              <w:rPr>
                <w:rFonts w:ascii="Times New Roman" w:hAnsi="Times New Roman"/>
                <w:b w:val="0"/>
                <w:sz w:val="20"/>
              </w:rPr>
              <w:t>5.749</w:t>
            </w:r>
          </w:p>
        </w:tc>
      </w:tr>
      <w:tr>
        <w:tc>
          <w:tcPr>
            <w:tcW w:type="dxa" w:w="4513"/>
          </w:tcPr>
          <w:p>
            <w:pPr>
              <w:spacing w:line="240" w:lineRule="auto" w:after="40"/>
            </w:pPr>
            <w:r>
              <w:rPr>
                <w:rFonts w:ascii="Times New Roman" w:hAnsi="Times New Roman"/>
                <w:b w:val="0"/>
                <w:sz w:val="20"/>
              </w:rPr>
              <w:t>95% confidence interval</w:t>
            </w:r>
          </w:p>
        </w:tc>
        <w:tc>
          <w:tcPr>
            <w:tcW w:type="dxa" w:w="4513"/>
          </w:tcPr>
          <w:p>
            <w:pPr>
              <w:spacing w:line="240" w:lineRule="auto" w:after="40"/>
            </w:pPr>
            <w:r>
              <w:rPr>
                <w:rFonts w:ascii="Times New Roman" w:hAnsi="Times New Roman"/>
                <w:b w:val="0"/>
                <w:sz w:val="20"/>
              </w:rPr>
              <w:t>[0.380, 0.824]</w:t>
            </w:r>
          </w:p>
        </w:tc>
      </w:tr>
      <w:tr>
        <w:tc>
          <w:tcPr>
            <w:tcW w:type="dxa" w:w="4513"/>
          </w:tcPr>
          <w:p>
            <w:pPr>
              <w:spacing w:line="240" w:lineRule="auto" w:after="40"/>
            </w:pPr>
            <w:r>
              <w:rPr>
                <w:rFonts w:ascii="Times New Roman" w:hAnsi="Times New Roman"/>
                <w:b w:val="0"/>
                <w:sz w:val="20"/>
              </w:rPr>
              <w:t>R²</w:t>
            </w:r>
          </w:p>
        </w:tc>
        <w:tc>
          <w:tcPr>
            <w:tcW w:type="dxa" w:w="4513"/>
          </w:tcPr>
          <w:p>
            <w:pPr>
              <w:spacing w:line="240" w:lineRule="auto" w:after="40"/>
            </w:pPr>
            <w:r>
              <w:rPr>
                <w:rFonts w:ascii="Times New Roman" w:hAnsi="Times New Roman"/>
                <w:b w:val="0"/>
                <w:sz w:val="20"/>
              </w:rPr>
              <w:t>0.674</w:t>
            </w:r>
          </w:p>
        </w:tc>
      </w:tr>
      <w:tr>
        <w:tc>
          <w:tcPr>
            <w:tcW w:type="dxa" w:w="4513"/>
          </w:tcPr>
          <w:p>
            <w:pPr>
              <w:spacing w:line="240" w:lineRule="auto" w:after="40"/>
            </w:pPr>
            <w:r>
              <w:rPr>
                <w:rFonts w:ascii="Times New Roman" w:hAnsi="Times New Roman"/>
                <w:b w:val="0"/>
                <w:sz w:val="20"/>
              </w:rPr>
              <w:t>Residual standard error (RMSE)</w:t>
            </w:r>
          </w:p>
        </w:tc>
        <w:tc>
          <w:tcPr>
            <w:tcW w:type="dxa" w:w="4513"/>
          </w:tcPr>
          <w:p>
            <w:pPr>
              <w:spacing w:line="240" w:lineRule="auto" w:after="40"/>
            </w:pPr>
            <w:r>
              <w:rPr>
                <w:rFonts w:ascii="Times New Roman" w:hAnsi="Times New Roman"/>
                <w:b w:val="0"/>
                <w:sz w:val="20"/>
              </w:rPr>
              <w:t>4.450 pp</w:t>
            </w:r>
          </w:p>
        </w:tc>
      </w:tr>
      <w:tr>
        <w:tc>
          <w:tcPr>
            <w:tcW w:type="dxa" w:w="4513"/>
          </w:tcPr>
          <w:p>
            <w:pPr>
              <w:spacing w:line="240" w:lineRule="auto" w:after="40"/>
            </w:pPr>
            <w:r>
              <w:rPr>
                <w:rFonts w:ascii="Times New Roman" w:hAnsi="Times New Roman"/>
                <w:b w:val="0"/>
                <w:sz w:val="20"/>
              </w:rPr>
              <w:t>n</w:t>
            </w:r>
          </w:p>
        </w:tc>
        <w:tc>
          <w:tcPr>
            <w:tcW w:type="dxa" w:w="4513"/>
          </w:tcPr>
          <w:p>
            <w:pPr>
              <w:spacing w:line="240" w:lineRule="auto" w:after="40"/>
            </w:pPr>
            <w:r>
              <w:rPr>
                <w:rFonts w:ascii="Times New Roman" w:hAnsi="Times New Roman"/>
                <w:b w:val="0"/>
                <w:sz w:val="20"/>
              </w:rPr>
              <w:t>18</w:t>
            </w:r>
          </w:p>
        </w:tc>
      </w:tr>
    </w:tbl>
    <w:p>
      <w:pPr>
        <w:spacing w:before="0" w:after="0"/>
        <w:jc w:val="both"/>
      </w:pPr>
    </w:p>
    <w:p>
      <w:pPr>
        <w:spacing w:before="0" w:after="120"/>
        <w:jc w:val="both"/>
      </w:pPr>
      <w:r>
        <w:rPr>
          <w:rFonts w:ascii="Times New Roman" w:hAnsi="Times New Roman"/>
          <w:b w:val="0"/>
          <w:i w:val="0"/>
          <w:sz w:val="24"/>
        </w:rPr>
        <w:t>The interval is the honest statement of what eighteen observations support. At the lower bound a percentage point of adoption is worth 0.38pp of turnover; at the upper bound, 0.82. The point estimate alone would overstate the precision by a factor of roughly two.</w:t>
      </w:r>
    </w:p>
    <w:p>
      <w:pPr>
        <w:spacing w:before="160" w:after="80"/>
        <w:jc w:val="left"/>
      </w:pPr>
      <w:r>
        <w:rPr>
          <w:rFonts w:ascii="Times New Roman" w:hAnsi="Times New Roman"/>
          <w:b/>
          <w:i w:val="0"/>
          <w:sz w:val="24"/>
        </w:rPr>
        <w:t>A.2 Residuals</w:t>
      </w:r>
    </w:p>
    <w:p>
      <w:pPr>
        <w:spacing w:before="0" w:after="120"/>
        <w:jc w:val="both"/>
      </w:pPr>
      <w:r>
        <w:rPr>
          <w:rFonts w:ascii="Times New Roman" w:hAnsi="Times New Roman"/>
          <w:b w:val="0"/>
          <w:i w:val="0"/>
          <w:sz w:val="24"/>
        </w:rPr>
        <w:t>Figure A1</w:t>
      </w:r>
    </w:p>
    <w:p>
      <w:pPr>
        <w:spacing w:before="0" w:after="120"/>
        <w:jc w:val="both"/>
      </w:pPr>
      <w:r>
        <w:rPr>
          <w:rFonts w:ascii="Times New Roman" w:hAnsi="Times New Roman"/>
          <w:b w:val="0"/>
          <w:i w:val="0"/>
          <w:sz w:val="24"/>
        </w:rPr>
        <w:t>No state is mispredicted by more than two residual standard errors, so the linear form is not obviously wrong. The largest positive residuals are Belgium (+7.69pp, +1.73 RMSE), Ireland (+6.31, +1.42) and Italy (+5.51, +1.24).</w:t>
      </w:r>
    </w:p>
    <w:p>
      <w:pPr>
        <w:spacing w:before="0" w:after="120"/>
        <w:jc w:val="both"/>
      </w:pPr>
      <w:r>
        <w:rPr>
          <w:rFonts w:ascii="Times New Roman" w:hAnsi="Times New Roman"/>
          <w:b w:val="0"/>
          <w:i w:val="0"/>
          <w:sz w:val="24"/>
        </w:rPr>
        <w:t xml:space="preserve">Denmark's residual is </w:t>
      </w:r>
      <w:r>
        <w:rPr>
          <w:rFonts w:ascii="Times New Roman" w:hAnsi="Times New Roman"/>
          <w:b/>
          <w:i w:val="0"/>
          <w:sz w:val="24"/>
        </w:rPr>
        <w:t>+4.34pp, or +0.97 RMSE, fourth largest of eighteen</w:t>
      </w:r>
      <w:r>
        <w:rPr>
          <w:rFonts w:ascii="Times New Roman" w:hAnsi="Times New Roman"/>
          <w:b w:val="0"/>
          <w:i w:val="0"/>
          <w:sz w:val="24"/>
        </w:rPr>
        <w:t>. This is the figure that killed an earlier version of this report's argument. A residual inside one standard error, with three states further above the line, is an ordinary position on the fitted relationship, not evidence that Denmark converts adoption into commercial activity unusually well. Question 1 says only that Denmark sits above the line and within one standard error of it.</w:t>
      </w:r>
    </w:p>
    <w:p>
      <w:pPr>
        <w:spacing w:before="160" w:after="80"/>
        <w:jc w:val="left"/>
      </w:pPr>
      <w:r>
        <w:rPr>
          <w:rFonts w:ascii="Times New Roman" w:hAnsi="Times New Roman"/>
          <w:b/>
          <w:i w:val="0"/>
          <w:sz w:val="24"/>
        </w:rPr>
        <w:t>A.3 Leave-one-out stability</w:t>
      </w:r>
    </w:p>
    <w:p>
      <w:pPr>
        <w:spacing w:before="0" w:after="120"/>
        <w:jc w:val="both"/>
      </w:pPr>
      <w:r>
        <w:rPr>
          <w:rFonts w:ascii="Times New Roman" w:hAnsi="Times New Roman"/>
          <w:b w:val="0"/>
          <w:i w:val="0"/>
          <w:sz w:val="24"/>
        </w:rPr>
        <w:t>Figure A2</w:t>
      </w:r>
    </w:p>
    <w:p>
      <w:pPr>
        <w:spacing w:before="0" w:after="120"/>
        <w:jc w:val="both"/>
      </w:pPr>
      <w:r>
        <w:rPr>
          <w:rFonts w:ascii="Times New Roman" w:hAnsi="Times New Roman"/>
          <w:b w:val="0"/>
          <w:i w:val="0"/>
          <w:sz w:val="24"/>
        </w:rPr>
        <w:t xml:space="preserve">Re-estimating the slope eighteen times, dropping each member state in turn, gives a range of </w:t>
      </w:r>
      <w:r>
        <w:rPr>
          <w:rFonts w:ascii="Times New Roman" w:hAnsi="Times New Roman"/>
          <w:b/>
          <w:i w:val="0"/>
          <w:sz w:val="24"/>
        </w:rPr>
        <w:t>[0.516, 0.672]</w:t>
      </w:r>
      <w:r>
        <w:rPr>
          <w:rFonts w:ascii="Times New Roman" w:hAnsi="Times New Roman"/>
          <w:b w:val="0"/>
          <w:i w:val="0"/>
          <w:sz w:val="24"/>
        </w:rPr>
        <w:t>. The slope never approaches zero and never changes sign, and every re-estimate falls inside the full-sample confidence interval. Ireland is the most influential single observation: dropping it moves the slope by −0.086, about 14%. That is unsurprising, since Ireland is the extreme point on both axes, and it is the reason Question 1 quotes an interval rather than a point.</w:t>
      </w:r>
    </w:p>
    <w:p>
      <w:pPr>
        <w:spacing w:before="160" w:after="80"/>
        <w:jc w:val="left"/>
      </w:pPr>
      <w:r>
        <w:rPr>
          <w:rFonts w:ascii="Times New Roman" w:hAnsi="Times New Roman"/>
          <w:b/>
          <w:i w:val="0"/>
          <w:sz w:val="24"/>
        </w:rPr>
        <w:t>A.4 Selection on the tails, measured</w:t>
      </w:r>
    </w:p>
    <w:p>
      <w:pPr>
        <w:spacing w:before="0" w:after="120"/>
        <w:jc w:val="both"/>
      </w:pPr>
      <w:r>
        <w:rPr>
          <w:rFonts w:ascii="Times New Roman" w:hAnsi="Times New Roman"/>
          <w:b w:val="0"/>
          <w:i w:val="0"/>
          <w:sz w:val="24"/>
        </w:rPr>
        <w:t>Figure A3</w:t>
      </w:r>
    </w:p>
    <w:p>
      <w:pPr>
        <w:spacing w:before="0" w:after="120"/>
        <w:jc w:val="both"/>
      </w:pPr>
      <w:r>
        <w:rPr>
          <w:rFonts w:ascii="Times New Roman" w:hAnsi="Times New Roman"/>
          <w:b w:val="0"/>
          <w:i w:val="0"/>
          <w:sz w:val="24"/>
        </w:rPr>
        <w:t>An earlier version of this figure drew its adoption values from a Eurostat news release (Eurostat 2025a), which named nine countries: the three highest, the three lowest and three notable movers. Six of those nine also report the turnover measure, so the figure originally rested on six observations drawn entirely from the ends of the distribution.</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pPr>
              <w:spacing w:line="240" w:lineRule="auto" w:after="40"/>
            </w:pPr>
            <w:r>
              <w:rPr>
                <w:rFonts w:ascii="Times New Roman" w:hAnsi="Times New Roman"/>
                <w:b/>
                <w:sz w:val="20"/>
              </w:rPr>
              <w:t>Sample</w:t>
            </w:r>
          </w:p>
        </w:tc>
        <w:tc>
          <w:tcPr>
            <w:tcW w:type="dxa" w:w="2256"/>
          </w:tcPr>
          <w:p>
            <w:pPr>
              <w:spacing w:line="240" w:lineRule="auto" w:after="40"/>
            </w:pPr>
            <w:r>
              <w:rPr>
                <w:rFonts w:ascii="Times New Roman" w:hAnsi="Times New Roman"/>
                <w:b/>
                <w:sz w:val="20"/>
              </w:rPr>
              <w:t>n</w:t>
            </w:r>
          </w:p>
        </w:tc>
        <w:tc>
          <w:tcPr>
            <w:tcW w:type="dxa" w:w="2256"/>
          </w:tcPr>
          <w:p>
            <w:pPr>
              <w:spacing w:line="240" w:lineRule="auto" w:after="40"/>
            </w:pPr>
            <w:r>
              <w:rPr>
                <w:rFonts w:ascii="Times New Roman" w:hAnsi="Times New Roman"/>
                <w:b/>
                <w:sz w:val="20"/>
              </w:rPr>
              <w:t>Slope</w:t>
            </w:r>
          </w:p>
        </w:tc>
        <w:tc>
          <w:tcPr>
            <w:tcW w:type="dxa" w:w="2256"/>
          </w:tcPr>
          <w:p>
            <w:pPr>
              <w:spacing w:line="240" w:lineRule="auto" w:after="40"/>
            </w:pPr>
            <w:r>
              <w:rPr>
                <w:rFonts w:ascii="Times New Roman" w:hAnsi="Times New Roman"/>
                <w:b/>
                <w:sz w:val="20"/>
              </w:rPr>
              <w:t>R²</w:t>
            </w:r>
          </w:p>
        </w:tc>
      </w:tr>
      <w:tr>
        <w:tc>
          <w:tcPr>
            <w:tcW w:type="dxa" w:w="2256"/>
          </w:tcPr>
          <w:p>
            <w:pPr>
              <w:spacing w:line="240" w:lineRule="auto" w:after="40"/>
            </w:pPr>
            <w:r>
              <w:rPr>
                <w:rFonts w:ascii="Times New Roman" w:hAnsi="Times New Roman"/>
                <w:b w:val="0"/>
                <w:sz w:val="20"/>
              </w:rPr>
              <w:t>Six tail countries (press-release values)</w:t>
            </w:r>
          </w:p>
        </w:tc>
        <w:tc>
          <w:tcPr>
            <w:tcW w:type="dxa" w:w="2256"/>
          </w:tcPr>
          <w:p>
            <w:pPr>
              <w:spacing w:line="240" w:lineRule="auto" w:after="40"/>
            </w:pPr>
            <w:r>
              <w:rPr>
                <w:rFonts w:ascii="Times New Roman" w:hAnsi="Times New Roman"/>
                <w:b w:val="0"/>
                <w:sz w:val="20"/>
              </w:rPr>
              <w:t>6</w:t>
            </w:r>
          </w:p>
        </w:tc>
        <w:tc>
          <w:tcPr>
            <w:tcW w:type="dxa" w:w="2256"/>
          </w:tcPr>
          <w:p>
            <w:pPr>
              <w:spacing w:line="240" w:lineRule="auto" w:after="40"/>
            </w:pPr>
            <w:r>
              <w:rPr>
                <w:rFonts w:ascii="Times New Roman" w:hAnsi="Times New Roman"/>
                <w:b w:val="0"/>
                <w:sz w:val="20"/>
              </w:rPr>
              <w:t>+0.655</w:t>
            </w:r>
          </w:p>
        </w:tc>
        <w:tc>
          <w:tcPr>
            <w:tcW w:type="dxa" w:w="2256"/>
          </w:tcPr>
          <w:p>
            <w:pPr>
              <w:spacing w:line="240" w:lineRule="auto" w:after="40"/>
            </w:pPr>
            <w:r>
              <w:rPr>
                <w:rFonts w:ascii="Times New Roman" w:hAnsi="Times New Roman"/>
                <w:b w:val="0"/>
                <w:sz w:val="20"/>
              </w:rPr>
              <w:t>0.853</w:t>
            </w:r>
          </w:p>
        </w:tc>
      </w:tr>
      <w:tr>
        <w:tc>
          <w:tcPr>
            <w:tcW w:type="dxa" w:w="2256"/>
          </w:tcPr>
          <w:p>
            <w:pPr>
              <w:spacing w:line="240" w:lineRule="auto" w:after="40"/>
            </w:pPr>
            <w:r>
              <w:rPr>
                <w:rFonts w:ascii="Times New Roman" w:hAnsi="Times New Roman"/>
                <w:b w:val="0"/>
                <w:sz w:val="20"/>
              </w:rPr>
              <w:t>All eighteen (databrowser extract)</w:t>
            </w:r>
          </w:p>
        </w:tc>
        <w:tc>
          <w:tcPr>
            <w:tcW w:type="dxa" w:w="2256"/>
          </w:tcPr>
          <w:p>
            <w:pPr>
              <w:spacing w:line="240" w:lineRule="auto" w:after="40"/>
            </w:pPr>
            <w:r>
              <w:rPr>
                <w:rFonts w:ascii="Times New Roman" w:hAnsi="Times New Roman"/>
                <w:b w:val="0"/>
                <w:sz w:val="20"/>
              </w:rPr>
              <w:t>18</w:t>
            </w:r>
          </w:p>
        </w:tc>
        <w:tc>
          <w:tcPr>
            <w:tcW w:type="dxa" w:w="2256"/>
          </w:tcPr>
          <w:p>
            <w:pPr>
              <w:spacing w:line="240" w:lineRule="auto" w:after="40"/>
            </w:pPr>
            <w:r>
              <w:rPr>
                <w:rFonts w:ascii="Times New Roman" w:hAnsi="Times New Roman"/>
                <w:b w:val="0"/>
                <w:sz w:val="20"/>
              </w:rPr>
              <w:t>+0.602</w:t>
            </w:r>
          </w:p>
        </w:tc>
        <w:tc>
          <w:tcPr>
            <w:tcW w:type="dxa" w:w="2256"/>
          </w:tcPr>
          <w:p>
            <w:pPr>
              <w:spacing w:line="240" w:lineRule="auto" w:after="40"/>
            </w:pPr>
            <w:r>
              <w:rPr>
                <w:rFonts w:ascii="Times New Roman" w:hAnsi="Times New Roman"/>
                <w:b w:val="0"/>
                <w:sz w:val="20"/>
              </w:rPr>
              <w:t>0.674</w:t>
            </w:r>
          </w:p>
        </w:tc>
      </w:tr>
    </w:tbl>
    <w:p>
      <w:pPr>
        <w:spacing w:before="0" w:after="0"/>
        <w:jc w:val="both"/>
      </w:pPr>
    </w:p>
    <w:p>
      <w:pPr>
        <w:spacing w:before="0" w:after="120"/>
        <w:jc w:val="both"/>
      </w:pPr>
      <w:r>
        <w:rPr>
          <w:rFonts w:ascii="Times New Roman" w:hAnsi="Times New Roman"/>
          <w:b w:val="0"/>
          <w:i w:val="0"/>
          <w:sz w:val="24"/>
        </w:rPr>
        <w:t>The slope moved by about 8%; the fit fell by 0.18. Selecting on the tails therefore inflated the apparent explanatory power far more than it biased the estimated relationship, which is the characteristic signature of range restriction in reverse, and a demonstration of selection bias measured on this report's own data rather than asserted from a textbook.</w:t>
      </w:r>
    </w:p>
    <w:p>
      <w:pPr>
        <w:spacing w:before="0" w:after="120"/>
        <w:jc w:val="both"/>
      </w:pPr>
      <w:r>
        <w:rPr>
          <w:rFonts w:ascii="Times New Roman" w:hAnsi="Times New Roman"/>
          <w:b w:val="0"/>
          <w:i w:val="0"/>
          <w:sz w:val="24"/>
        </w:rPr>
        <w:t xml:space="preserve">One detail matters for anyone reproducing this. The tail-sample statistics are computed from the </w:t>
      </w:r>
      <w:r>
        <w:rPr>
          <w:rFonts w:ascii="Times New Roman" w:hAnsi="Times New Roman"/>
          <w:b/>
          <w:i w:val="0"/>
          <w:sz w:val="24"/>
        </w:rPr>
        <w:t>rounded values the press release printed</w:t>
      </w:r>
      <w:r>
        <w:rPr>
          <w:rFonts w:ascii="Times New Roman" w:hAnsi="Times New Roman"/>
          <w:b w:val="0"/>
          <w:i w:val="0"/>
          <w:sz w:val="24"/>
        </w:rPr>
        <w:t xml:space="preserve"> (Ireland 96, Denmark 91, Germany 83, Hungary 79, Italy 60, Bulgaria 57), because the point is what the earlier figure actually showed. Recomputing the same six countries from the databrowser's unrounded values gives a slope of 0.658 and R² of 0.854: the same conclusion, marginally different digits.</w:t>
      </w:r>
    </w:p>
    <w:p>
      <w:pPr>
        <w:spacing w:before="160" w:after="80"/>
        <w:jc w:val="left"/>
      </w:pPr>
      <w:r>
        <w:rPr>
          <w:rFonts w:ascii="Times New Roman" w:hAnsi="Times New Roman"/>
          <w:b/>
          <w:i w:val="0"/>
          <w:sz w:val="24"/>
        </w:rPr>
        <w:t>A.5 Is the missing third of the EU missing for a reason?</w:t>
      </w:r>
    </w:p>
    <w:p>
      <w:pPr>
        <w:spacing w:before="0" w:after="120"/>
        <w:jc w:val="both"/>
      </w:pPr>
      <w:r>
        <w:rPr>
          <w:rFonts w:ascii="Times New Roman" w:hAnsi="Times New Roman"/>
          <w:b w:val="0"/>
          <w:i w:val="0"/>
          <w:sz w:val="24"/>
        </w:rPr>
        <w:t>Nine member states report adoption but not turnover: EE, EL, FI, LT, LV, NL, PT, RO and SK. If they were absent because of something correlated with the outcome, the estimate would be selected rather than merely incomplete.</w:t>
      </w:r>
    </w:p>
    <w:p>
      <w:pPr>
        <w:spacing w:before="0" w:after="120"/>
        <w:jc w:val="both"/>
      </w:pPr>
      <w:r>
        <w:rPr>
          <w:rFonts w:ascii="Times New Roman" w:hAnsi="Times New Roman"/>
          <w:b w:val="0"/>
          <w:i w:val="0"/>
          <w:sz w:val="24"/>
        </w:rPr>
        <w:t xml:space="preserve">They average </w:t>
      </w:r>
      <w:r>
        <w:rPr>
          <w:rFonts w:ascii="Times New Roman" w:hAnsi="Times New Roman"/>
          <w:b/>
          <w:i w:val="0"/>
          <w:sz w:val="24"/>
        </w:rPr>
        <w:t>75.67%</w:t>
      </w:r>
      <w:r>
        <w:rPr>
          <w:rFonts w:ascii="Times New Roman" w:hAnsi="Times New Roman"/>
          <w:b w:val="0"/>
          <w:i w:val="0"/>
          <w:sz w:val="24"/>
        </w:rPr>
        <w:t xml:space="preserve"> on adoption against the plotted eighteen's </w:t>
      </w:r>
      <w:r>
        <w:rPr>
          <w:rFonts w:ascii="Times New Roman" w:hAnsi="Times New Roman"/>
          <w:b/>
          <w:i w:val="0"/>
          <w:sz w:val="24"/>
        </w:rPr>
        <w:t>77.23%</w:t>
      </w:r>
      <w:r>
        <w:rPr>
          <w:rFonts w:ascii="Times New Roman" w:hAnsi="Times New Roman"/>
          <w:b w:val="0"/>
          <w:i w:val="0"/>
          <w:sz w:val="24"/>
        </w:rPr>
        <w:t>, a difference of −1.57pp, with a two-sample t of −0.372 on 25 degrees of freedom, p ≈ 0.71. The two groups are statistically indistinguishable on the x-axis. The sample is missing on availability of the outcome measure, not selected on the regressor.</w:t>
      </w:r>
    </w:p>
    <w:p>
      <w:pPr>
        <w:spacing w:before="0" w:after="120"/>
        <w:jc w:val="both"/>
      </w:pPr>
      <w:r>
        <w:rPr>
          <w:rFonts w:ascii="Times New Roman" w:hAnsi="Times New Roman"/>
          <w:b w:val="0"/>
          <w:i w:val="0"/>
          <w:sz w:val="24"/>
        </w:rPr>
        <w:t>That test has a limit worth stating, because it is the strongest objection to this section. Balance on the regressor is not balance on the outcome, and the reasons a national statistical institute fails to publish an e-sales turnover figure are not all random with respect to economic structure. Eurostat requires turnover at basic prices excluding VAT, and rejects national submissions failing coherence checks against Structural Business Statistics. Web and EDI sales behave differently, since EDI carries industrial business-to-business volume, so a small change in which large manufacturers fall into the sample can move a national share by several points. And secondary suppression removes a national total outright where one or two dominant firms in a NACE division would let their figure be recovered by subtraction. That last mechanism is the troubling one: it makes missingness a function of market concentration, which is plausibly related to enterprise e-commerce intensity. A balance test on consumer adoption cannot detect it. The honest statement is that the nine are missing for administrative and disclosure reasons rather than for anything this section could observe, which is weaker than missing at random and stronger than selected on the outcome.</w:t>
      </w:r>
    </w:p>
    <w:p>
      <w:pPr>
        <w:spacing w:before="160" w:after="80"/>
        <w:jc w:val="left"/>
      </w:pPr>
      <w:r>
        <w:rPr>
          <w:rFonts w:ascii="Times New Roman" w:hAnsi="Times New Roman"/>
          <w:b/>
          <w:i w:val="0"/>
          <w:sz w:val="24"/>
        </w:rPr>
        <w:t>A.6 What this design still cannot do</w:t>
      </w:r>
    </w:p>
    <w:p>
      <w:pPr>
        <w:spacing w:before="0" w:after="120"/>
        <w:jc w:val="both"/>
      </w:pPr>
      <w:r>
        <w:rPr>
          <w:rFonts w:ascii="Times New Roman" w:hAnsi="Times New Roman"/>
          <w:b w:val="0"/>
          <w:i w:val="0"/>
          <w:sz w:val="24"/>
        </w:rPr>
        <w:t>Adoption is measured on consumers and turnover on enterprises, including business-to-business ordering no consumer ever touches, so the two axes are not two sides of one transaction. National income appears on neither axis and would plausibly raise both. Both are single-year cross-sections, so nothing here identifies a direction of causation. The relationship is an association that survives every robustness check available on eighteen observations, and that is the whole of the claim.</w:t>
      </w:r>
    </w:p>
    <w:p>
      <w:pPr>
        <w:spacing w:before="160" w:after="40"/>
        <w:jc w:val="center"/>
      </w:pPr>
      <w:r>
        <w:drawing>
          <wp:inline xmlns:a="http://schemas.openxmlformats.org/drawingml/2006/main" xmlns:pic="http://schemas.openxmlformats.org/drawingml/2006/picture">
            <wp:extent cx="5580000" cy="3127525"/>
            <wp:docPr id="11" name="Picture 11"/>
            <wp:cNvGraphicFramePr>
              <a:graphicFrameLocks noChangeAspect="1"/>
            </wp:cNvGraphicFramePr>
            <a:graphic>
              <a:graphicData uri="http://schemas.openxmlformats.org/drawingml/2006/picture">
                <pic:pic>
                  <pic:nvPicPr>
                    <pic:cNvPr id="0" name="figA_c1_residuals.png"/>
                    <pic:cNvPicPr/>
                  </pic:nvPicPr>
                  <pic:blipFill>
                    <a:blip r:embed="rId20"/>
                    <a:stretch>
                      <a:fillRect/>
                    </a:stretch>
                  </pic:blipFill>
                  <pic:spPr>
                    <a:xfrm>
                      <a:off x="0" y="0"/>
                      <a:ext cx="5580000" cy="3127525"/>
                    </a:xfrm>
                    <a:prstGeom prst="rect"/>
                  </pic:spPr>
                </pic:pic>
              </a:graphicData>
            </a:graphic>
          </wp:inline>
        </w:drawing>
      </w:r>
    </w:p>
    <w:p>
      <w:pPr>
        <w:spacing w:before="0" w:after="200" w:line="240" w:lineRule="auto"/>
        <w:jc w:val="center"/>
      </w:pPr>
      <w:r>
        <w:rPr>
          <w:rFonts w:ascii="Times New Roman" w:hAnsi="Times New Roman"/>
          <w:b w:val="0"/>
          <w:i/>
          <w:sz w:val="20"/>
        </w:rPr>
        <w:t>Figure A1. Residuals against fitted values, EU 2024 regression. Workbook F6.</w:t>
      </w:r>
    </w:p>
    <w:p>
      <w:pPr>
        <w:spacing w:before="160" w:after="40"/>
        <w:jc w:val="center"/>
      </w:pPr>
      <w:r>
        <w:drawing>
          <wp:inline xmlns:a="http://schemas.openxmlformats.org/drawingml/2006/main" xmlns:pic="http://schemas.openxmlformats.org/drawingml/2006/picture">
            <wp:extent cx="5580000" cy="3441869"/>
            <wp:docPr id="12" name="Picture 12"/>
            <wp:cNvGraphicFramePr>
              <a:graphicFrameLocks noChangeAspect="1"/>
            </wp:cNvGraphicFramePr>
            <a:graphic>
              <a:graphicData uri="http://schemas.openxmlformats.org/drawingml/2006/picture">
                <pic:pic>
                  <pic:nvPicPr>
                    <pic:cNvPr id="0" name="figA_c2_jackknife.png"/>
                    <pic:cNvPicPr/>
                  </pic:nvPicPr>
                  <pic:blipFill>
                    <a:blip r:embed="rId21"/>
                    <a:stretch>
                      <a:fillRect/>
                    </a:stretch>
                  </pic:blipFill>
                  <pic:spPr>
                    <a:xfrm>
                      <a:off x="0" y="0"/>
                      <a:ext cx="5580000" cy="3441869"/>
                    </a:xfrm>
                    <a:prstGeom prst="rect"/>
                  </pic:spPr>
                </pic:pic>
              </a:graphicData>
            </a:graphic>
          </wp:inline>
        </w:drawing>
      </w:r>
    </w:p>
    <w:p>
      <w:pPr>
        <w:spacing w:before="0" w:after="200" w:line="240" w:lineRule="auto"/>
        <w:jc w:val="center"/>
      </w:pPr>
      <w:r>
        <w:rPr>
          <w:rFonts w:ascii="Times New Roman" w:hAnsi="Times New Roman"/>
          <w:b w:val="0"/>
          <w:i/>
          <w:sz w:val="20"/>
        </w:rPr>
        <w:t>Figure A2. Leave-one-out slopes, all 18 drops. Workbook F6.</w:t>
      </w:r>
    </w:p>
    <w:p>
      <w:pPr>
        <w:spacing w:before="160" w:after="40"/>
        <w:jc w:val="center"/>
      </w:pPr>
      <w:r>
        <w:drawing>
          <wp:inline xmlns:a="http://schemas.openxmlformats.org/drawingml/2006/main" xmlns:pic="http://schemas.openxmlformats.org/drawingml/2006/picture">
            <wp:extent cx="5580000" cy="3641829"/>
            <wp:docPr id="13" name="Picture 13"/>
            <wp:cNvGraphicFramePr>
              <a:graphicFrameLocks noChangeAspect="1"/>
            </wp:cNvGraphicFramePr>
            <a:graphic>
              <a:graphicData uri="http://schemas.openxmlformats.org/drawingml/2006/picture">
                <pic:pic>
                  <pic:nvPicPr>
                    <pic:cNvPr id="0" name="figA_c3_tailselection.png"/>
                    <pic:cNvPicPr/>
                  </pic:nvPicPr>
                  <pic:blipFill>
                    <a:blip r:embed="rId22"/>
                    <a:stretch>
                      <a:fillRect/>
                    </a:stretch>
                  </pic:blipFill>
                  <pic:spPr>
                    <a:xfrm>
                      <a:off x="0" y="0"/>
                      <a:ext cx="5580000" cy="3641829"/>
                    </a:xfrm>
                    <a:prstGeom prst="rect"/>
                  </pic:spPr>
                </pic:pic>
              </a:graphicData>
            </a:graphic>
          </wp:inline>
        </w:drawing>
      </w:r>
    </w:p>
    <w:p>
      <w:pPr>
        <w:spacing w:before="0" w:after="200" w:line="240" w:lineRule="auto"/>
        <w:jc w:val="center"/>
      </w:pPr>
      <w:r>
        <w:rPr>
          <w:rFonts w:ascii="Times New Roman" w:hAnsi="Times New Roman"/>
          <w:b w:val="0"/>
          <w:i/>
          <w:sz w:val="20"/>
        </w:rPr>
        <w:t>Figure A3. The six tail countries against the full cross-section. Workbook F6.</w:t>
      </w:r>
    </w:p>
    <w:p>
      <w:r>
        <w:br w:type="page"/>
      </w:r>
    </w:p>
    <w:p>
      <w:pPr>
        <w:spacing w:before="0" w:after="160"/>
        <w:jc w:val="left"/>
      </w:pPr>
      <w:r>
        <w:rPr>
          <w:rFonts w:ascii="Times New Roman" w:hAnsi="Times New Roman"/>
          <w:b/>
          <w:i w:val="0"/>
          <w:sz w:val="26"/>
        </w:rPr>
        <w:t>Appendix B. Policy Specification and Implementation Timeline</w:t>
      </w:r>
    </w:p>
    <w:p>
      <w:pPr>
        <w:spacing w:before="0" w:after="120"/>
        <w:jc w:val="both"/>
      </w:pPr>
      <w:r>
        <w:rPr>
          <w:rFonts w:ascii="Times New Roman" w:hAnsi="Times New Roman"/>
          <w:b w:val="0"/>
          <w:i w:val="0"/>
          <w:sz w:val="24"/>
        </w:rPr>
        <w:t>Question 2 recommends restructuring SMV:Digital's allocation so that the scheme can measure its own effect, is a research design as much as a policy, and a design is only as good as its specification. This appendix states it at the level of detail an administering agency would need to act on it.</w:t>
      </w:r>
    </w:p>
    <w:p>
      <w:pPr>
        <w:spacing w:before="160" w:after="80"/>
        <w:jc w:val="left"/>
      </w:pPr>
      <w:r>
        <w:rPr>
          <w:rFonts w:ascii="Times New Roman" w:hAnsi="Times New Roman"/>
          <w:b/>
          <w:i w:val="0"/>
          <w:sz w:val="24"/>
        </w:rPr>
        <w:t>B.1 What the present scheme can and cannot establish</w:t>
      </w:r>
    </w:p>
    <w:p>
      <w:pPr>
        <w:spacing w:before="0" w:after="120"/>
        <w:jc w:val="both"/>
      </w:pPr>
      <w:r>
        <w:rPr>
          <w:rFonts w:ascii="Times New Roman" w:hAnsi="Times New Roman"/>
          <w:b w:val="0"/>
          <w:i w:val="0"/>
          <w:sz w:val="24"/>
        </w:rPr>
        <w:t>SMV:Digital is better evaluated than most such schemes. Digitaliseringsstyrelsen links recipients to Danmarks Statistik registers and compares them with matched control firms, reporting revenue growth of 18% against the controls' 13%, a gap of five percentage points, and employment growth of 8% against 4% (Digitaliseringsstyrelsen 2025b). That is register data with a comparison group, and it disposes of the naive reading of the scheme's own headline, that 65% of participants invested further, which compares applicants with the general SME population and is besides self-reported to the scheme's own funder.</w:t>
      </w:r>
    </w:p>
    <w:p>
      <w:pPr>
        <w:spacing w:before="0" w:after="120"/>
        <w:jc w:val="both"/>
      </w:pPr>
      <w:r>
        <w:rPr>
          <w:rFonts w:ascii="Times New Roman" w:hAnsi="Times New Roman"/>
          <w:b w:val="0"/>
          <w:i w:val="0"/>
          <w:sz w:val="24"/>
        </w:rPr>
        <w:t>The residual problem is the one matching cannot reach. Recipients are matched on what the registers record: sector, size, age, prior trajectory. Selection into a voluntary scheme runs on what they do not record: managerial ambition, an existing digitalisation plan, the slack to write an application. Those are precisely the traits that also produce revenue growth, so the matched estimate retains an upward bias of unknown size. Closing it requires variation in funding that is independent of the firm, and matching cannot manufacture that.</w:t>
      </w:r>
    </w:p>
    <w:p>
      <w:pPr>
        <w:spacing w:before="0" w:after="120"/>
        <w:jc w:val="both"/>
      </w:pPr>
      <w:r>
        <w:rPr>
          <w:rFonts w:ascii="Times New Roman" w:hAnsi="Times New Roman"/>
          <w:b w:val="0"/>
          <w:i w:val="0"/>
          <w:sz w:val="24"/>
        </w:rPr>
        <w:t>Figure B1</w:t>
      </w:r>
    </w:p>
    <w:p>
      <w:pPr>
        <w:spacing w:before="160" w:after="80"/>
        <w:jc w:val="left"/>
      </w:pPr>
      <w:r>
        <w:rPr>
          <w:rFonts w:ascii="Times New Roman" w:hAnsi="Times New Roman"/>
          <w:b/>
          <w:i w:val="0"/>
          <w:sz w:val="24"/>
        </w:rPr>
        <w:t>B.2 The instrument</w:t>
      </w:r>
    </w:p>
    <w:tbl>
      <w:tblPr>
        <w:tblStyle w:val="TableGrid"/>
        <w:tblW w:type="auto" w:w="0"/>
        <w:tblLook w:firstColumn="1" w:firstRow="1" w:lastColumn="0" w:lastRow="0" w:noHBand="0" w:noVBand="1" w:val="04A0"/>
      </w:tblPr>
      <w:tblGrid>
        <w:gridCol w:w="4513"/>
        <w:gridCol w:w="4513"/>
      </w:tblGrid>
      <w:tr>
        <w:tc>
          <w:tcPr>
            <w:tcW w:type="dxa" w:w="4513"/>
          </w:tcPr>
          <w:p>
            <w:pPr>
              <w:spacing w:line="240" w:lineRule="auto" w:after="40"/>
            </w:pPr>
            <w:r>
              <w:rPr>
                <w:rFonts w:ascii="Times New Roman" w:hAnsi="Times New Roman"/>
                <w:b/>
                <w:sz w:val="20"/>
              </w:rPr>
              <w:t>Element</w:t>
            </w:r>
          </w:p>
        </w:tc>
        <w:tc>
          <w:tcPr>
            <w:tcW w:type="dxa" w:w="4513"/>
          </w:tcPr>
          <w:p>
            <w:pPr>
              <w:spacing w:line="240" w:lineRule="auto" w:after="40"/>
            </w:pPr>
            <w:r>
              <w:rPr>
                <w:rFonts w:ascii="Times New Roman" w:hAnsi="Times New Roman"/>
                <w:b/>
                <w:sz w:val="20"/>
              </w:rPr>
              <w:t>Specification</w:t>
            </w:r>
          </w:p>
        </w:tc>
      </w:tr>
      <w:tr>
        <w:tc>
          <w:tcPr>
            <w:tcW w:type="dxa" w:w="4513"/>
          </w:tcPr>
          <w:p>
            <w:pPr>
              <w:spacing w:line="240" w:lineRule="auto" w:after="40"/>
            </w:pPr>
            <w:r>
              <w:rPr>
                <w:rFonts w:ascii="Times New Roman" w:hAnsi="Times New Roman"/>
                <w:b w:val="0"/>
                <w:sz w:val="20"/>
              </w:rPr>
              <w:t>Instrument</w:t>
            </w:r>
          </w:p>
        </w:tc>
        <w:tc>
          <w:tcPr>
            <w:tcW w:type="dxa" w:w="4513"/>
          </w:tcPr>
          <w:p>
            <w:pPr>
              <w:spacing w:line="240" w:lineRule="auto" w:after="40"/>
            </w:pPr>
            <w:r>
              <w:rPr>
                <w:rFonts w:ascii="Times New Roman" w:hAnsi="Times New Roman"/>
                <w:b w:val="0"/>
                <w:sz w:val="20"/>
              </w:rPr>
              <w:t>Regression discontinuity at the eligibility scoring threshold</w:t>
            </w:r>
          </w:p>
        </w:tc>
      </w:tr>
      <w:tr>
        <w:tc>
          <w:tcPr>
            <w:tcW w:type="dxa" w:w="4513"/>
          </w:tcPr>
          <w:p>
            <w:pPr>
              <w:spacing w:line="240" w:lineRule="auto" w:after="40"/>
            </w:pPr>
            <w:r>
              <w:rPr>
                <w:rFonts w:ascii="Times New Roman" w:hAnsi="Times New Roman"/>
                <w:b w:val="0"/>
                <w:sz w:val="20"/>
              </w:rPr>
              <w:t>Legal vehicle</w:t>
            </w:r>
          </w:p>
        </w:tc>
        <w:tc>
          <w:tcPr>
            <w:tcW w:type="dxa" w:w="4513"/>
          </w:tcPr>
          <w:p>
            <w:pPr>
              <w:spacing w:line="240" w:lineRule="auto" w:after="40"/>
            </w:pPr>
            <w:r>
              <w:rPr>
                <w:rFonts w:ascii="Times New Roman" w:hAnsi="Times New Roman"/>
                <w:b w:val="0"/>
                <w:sz w:val="20"/>
              </w:rPr>
              <w:t>Administrative amendment to scheme guidelines; no primary legislation</w:t>
            </w:r>
          </w:p>
        </w:tc>
      </w:tr>
      <w:tr>
        <w:tc>
          <w:tcPr>
            <w:tcW w:type="dxa" w:w="4513"/>
          </w:tcPr>
          <w:p>
            <w:pPr>
              <w:spacing w:line="240" w:lineRule="auto" w:after="40"/>
            </w:pPr>
            <w:r>
              <w:rPr>
                <w:rFonts w:ascii="Times New Roman" w:hAnsi="Times New Roman"/>
                <w:b w:val="0"/>
                <w:sz w:val="20"/>
              </w:rPr>
              <w:t>Administering body</w:t>
            </w:r>
          </w:p>
        </w:tc>
        <w:tc>
          <w:tcPr>
            <w:tcW w:type="dxa" w:w="4513"/>
          </w:tcPr>
          <w:p>
            <w:pPr>
              <w:spacing w:line="240" w:lineRule="auto" w:after="40"/>
            </w:pPr>
            <w:r>
              <w:rPr>
                <w:rFonts w:ascii="Times New Roman" w:hAnsi="Times New Roman"/>
                <w:b w:val="0"/>
                <w:sz w:val="20"/>
              </w:rPr>
              <w:t>Erhvervsstyrelsen, via the SMV:Digital secretariat</w:t>
            </w:r>
          </w:p>
        </w:tc>
      </w:tr>
      <w:tr>
        <w:tc>
          <w:tcPr>
            <w:tcW w:type="dxa" w:w="4513"/>
          </w:tcPr>
          <w:p>
            <w:pPr>
              <w:spacing w:line="240" w:lineRule="auto" w:after="40"/>
            </w:pPr>
            <w:r>
              <w:rPr>
                <w:rFonts w:ascii="Times New Roman" w:hAnsi="Times New Roman"/>
                <w:b w:val="0"/>
                <w:sz w:val="20"/>
              </w:rPr>
              <w:t>Trigger condition</w:t>
            </w:r>
          </w:p>
        </w:tc>
        <w:tc>
          <w:tcPr>
            <w:tcW w:type="dxa" w:w="4513"/>
          </w:tcPr>
          <w:p>
            <w:pPr>
              <w:spacing w:line="240" w:lineRule="auto" w:after="40"/>
            </w:pPr>
            <w:r>
              <w:rPr>
                <w:rFonts w:ascii="Times New Roman" w:hAnsi="Times New Roman"/>
                <w:b w:val="0"/>
                <w:sz w:val="20"/>
              </w:rPr>
              <w:t>Applied where applications are scored and the pool is oversubscribed</w:t>
            </w:r>
          </w:p>
        </w:tc>
      </w:tr>
      <w:tr>
        <w:tc>
          <w:tcPr>
            <w:tcW w:type="dxa" w:w="4513"/>
          </w:tcPr>
          <w:p>
            <w:pPr>
              <w:spacing w:line="240" w:lineRule="auto" w:after="40"/>
            </w:pPr>
            <w:r>
              <w:rPr>
                <w:rFonts w:ascii="Times New Roman" w:hAnsi="Times New Roman"/>
                <w:b w:val="0"/>
                <w:sz w:val="20"/>
              </w:rPr>
              <w:t>Eligibility</w:t>
            </w:r>
          </w:p>
        </w:tc>
        <w:tc>
          <w:tcPr>
            <w:tcW w:type="dxa" w:w="4513"/>
          </w:tcPr>
          <w:p>
            <w:pPr>
              <w:spacing w:line="240" w:lineRule="auto" w:after="40"/>
            </w:pPr>
            <w:r>
              <w:rPr>
                <w:rFonts w:ascii="Times New Roman" w:hAnsi="Times New Roman"/>
                <w:b w:val="0"/>
                <w:sz w:val="20"/>
              </w:rPr>
              <w:t>Unchanged from the present scheme criteria</w:t>
            </w:r>
          </w:p>
        </w:tc>
      </w:tr>
      <w:tr>
        <w:tc>
          <w:tcPr>
            <w:tcW w:type="dxa" w:w="4513"/>
          </w:tcPr>
          <w:p>
            <w:pPr>
              <w:spacing w:line="240" w:lineRule="auto" w:after="40"/>
            </w:pPr>
            <w:r>
              <w:rPr>
                <w:rFonts w:ascii="Times New Roman" w:hAnsi="Times New Roman"/>
                <w:b w:val="0"/>
                <w:sz w:val="20"/>
              </w:rPr>
              <w:t>Allocation</w:t>
            </w:r>
          </w:p>
        </w:tc>
        <w:tc>
          <w:tcPr>
            <w:tcW w:type="dxa" w:w="4513"/>
          </w:tcPr>
          <w:p>
            <w:pPr>
              <w:spacing w:line="240" w:lineRule="auto" w:after="40"/>
            </w:pPr>
            <w:r>
              <w:rPr>
                <w:rFonts w:ascii="Times New Roman" w:hAnsi="Times New Roman"/>
                <w:b w:val="0"/>
                <w:sz w:val="20"/>
              </w:rPr>
              <w:t>Unchanged: highest-scoring applicants funded until the pool is exhausted</w:t>
            </w:r>
          </w:p>
        </w:tc>
      </w:tr>
      <w:tr>
        <w:tc>
          <w:tcPr>
            <w:tcW w:type="dxa" w:w="4513"/>
          </w:tcPr>
          <w:p>
            <w:pPr>
              <w:spacing w:line="240" w:lineRule="auto" w:after="40"/>
            </w:pPr>
            <w:r>
              <w:rPr>
                <w:rFonts w:ascii="Times New Roman" w:hAnsi="Times New Roman"/>
                <w:b w:val="0"/>
                <w:sz w:val="20"/>
              </w:rPr>
              <w:t>Treatment arm</w:t>
            </w:r>
          </w:p>
        </w:tc>
        <w:tc>
          <w:tcPr>
            <w:tcW w:type="dxa" w:w="4513"/>
          </w:tcPr>
          <w:p>
            <w:pPr>
              <w:spacing w:line="240" w:lineRule="auto" w:after="40"/>
            </w:pPr>
            <w:r>
              <w:rPr>
                <w:rFonts w:ascii="Times New Roman" w:hAnsi="Times New Roman"/>
                <w:b w:val="0"/>
                <w:sz w:val="20"/>
              </w:rPr>
              <w:t>Applicants scoring just above the funding cut-off</w:t>
            </w:r>
          </w:p>
        </w:tc>
      </w:tr>
      <w:tr>
        <w:tc>
          <w:tcPr>
            <w:tcW w:type="dxa" w:w="4513"/>
          </w:tcPr>
          <w:p>
            <w:pPr>
              <w:spacing w:line="240" w:lineRule="auto" w:after="40"/>
            </w:pPr>
            <w:r>
              <w:rPr>
                <w:rFonts w:ascii="Times New Roman" w:hAnsi="Times New Roman"/>
                <w:b w:val="0"/>
                <w:sz w:val="20"/>
              </w:rPr>
              <w:t>Control arm</w:t>
            </w:r>
          </w:p>
        </w:tc>
        <w:tc>
          <w:tcPr>
            <w:tcW w:type="dxa" w:w="4513"/>
          </w:tcPr>
          <w:p>
            <w:pPr>
              <w:spacing w:line="240" w:lineRule="auto" w:after="40"/>
            </w:pPr>
            <w:r>
              <w:rPr>
                <w:rFonts w:ascii="Times New Roman" w:hAnsi="Times New Roman"/>
                <w:b w:val="0"/>
                <w:sz w:val="20"/>
              </w:rPr>
              <w:t>Applicants scoring just below it</w:t>
            </w:r>
          </w:p>
        </w:tc>
      </w:tr>
      <w:tr>
        <w:tc>
          <w:tcPr>
            <w:tcW w:type="dxa" w:w="4513"/>
          </w:tcPr>
          <w:p>
            <w:pPr>
              <w:spacing w:line="240" w:lineRule="auto" w:after="40"/>
            </w:pPr>
            <w:r>
              <w:rPr>
                <w:rFonts w:ascii="Times New Roman" w:hAnsi="Times New Roman"/>
                <w:b w:val="0"/>
                <w:sz w:val="20"/>
              </w:rPr>
              <w:t>Identifying assumption</w:t>
            </w:r>
          </w:p>
        </w:tc>
        <w:tc>
          <w:tcPr>
            <w:tcW w:type="dxa" w:w="4513"/>
          </w:tcPr>
          <w:p>
            <w:pPr>
              <w:spacing w:line="240" w:lineRule="auto" w:after="40"/>
            </w:pPr>
            <w:r>
              <w:rPr>
                <w:rFonts w:ascii="Times New Roman" w:hAnsi="Times New Roman"/>
                <w:b w:val="0"/>
                <w:sz w:val="20"/>
              </w:rPr>
              <w:t>Baseline outcomes vary continuously across the cut-off; firms cannot precisely manipulate their own score</w:t>
            </w:r>
          </w:p>
        </w:tc>
      </w:tr>
      <w:tr>
        <w:tc>
          <w:tcPr>
            <w:tcW w:type="dxa" w:w="4513"/>
          </w:tcPr>
          <w:p>
            <w:pPr>
              <w:spacing w:line="240" w:lineRule="auto" w:after="40"/>
            </w:pPr>
            <w:r>
              <w:rPr>
                <w:rFonts w:ascii="Times New Roman" w:hAnsi="Times New Roman"/>
                <w:b w:val="0"/>
                <w:sz w:val="20"/>
              </w:rPr>
              <w:t>Primary outcome</w:t>
            </w:r>
          </w:p>
        </w:tc>
        <w:tc>
          <w:tcPr>
            <w:tcW w:type="dxa" w:w="4513"/>
          </w:tcPr>
          <w:p>
            <w:pPr>
              <w:spacing w:line="240" w:lineRule="auto" w:after="40"/>
            </w:pPr>
            <w:r>
              <w:rPr>
                <w:rFonts w:ascii="Times New Roman" w:hAnsi="Times New Roman"/>
                <w:b w:val="0"/>
                <w:sz w:val="20"/>
              </w:rPr>
              <w:t>Subsequent own-funded digital investment, from register data</w:t>
            </w:r>
          </w:p>
        </w:tc>
      </w:tr>
      <w:tr>
        <w:tc>
          <w:tcPr>
            <w:tcW w:type="dxa" w:w="4513"/>
          </w:tcPr>
          <w:p>
            <w:pPr>
              <w:spacing w:line="240" w:lineRule="auto" w:after="40"/>
            </w:pPr>
            <w:r>
              <w:rPr>
                <w:rFonts w:ascii="Times New Roman" w:hAnsi="Times New Roman"/>
                <w:b w:val="0"/>
                <w:sz w:val="20"/>
              </w:rPr>
              <w:t>Secondary outcomes</w:t>
            </w:r>
          </w:p>
        </w:tc>
        <w:tc>
          <w:tcPr>
            <w:tcW w:type="dxa" w:w="4513"/>
          </w:tcPr>
          <w:p>
            <w:pPr>
              <w:spacing w:line="240" w:lineRule="auto" w:after="40"/>
            </w:pPr>
            <w:r>
              <w:rPr>
                <w:rFonts w:ascii="Times New Roman" w:hAnsi="Times New Roman"/>
                <w:b w:val="0"/>
                <w:sz w:val="20"/>
              </w:rPr>
              <w:t>Employment, turnover, survival</w:t>
            </w:r>
          </w:p>
        </w:tc>
      </w:tr>
      <w:tr>
        <w:tc>
          <w:tcPr>
            <w:tcW w:type="dxa" w:w="4513"/>
          </w:tcPr>
          <w:p>
            <w:pPr>
              <w:spacing w:line="240" w:lineRule="auto" w:after="40"/>
            </w:pPr>
            <w:r>
              <w:rPr>
                <w:rFonts w:ascii="Times New Roman" w:hAnsi="Times New Roman"/>
                <w:b w:val="0"/>
                <w:sz w:val="20"/>
              </w:rPr>
              <w:t>Data source</w:t>
            </w:r>
          </w:p>
        </w:tc>
        <w:tc>
          <w:tcPr>
            <w:tcW w:type="dxa" w:w="4513"/>
          </w:tcPr>
          <w:p>
            <w:pPr>
              <w:spacing w:line="240" w:lineRule="auto" w:after="40"/>
            </w:pPr>
            <w:r>
              <w:rPr>
                <w:rFonts w:ascii="Times New Roman" w:hAnsi="Times New Roman"/>
                <w:b w:val="0"/>
                <w:sz w:val="20"/>
              </w:rPr>
              <w:t>Danmarks Statistik register linkage, not self-report</w:t>
            </w:r>
          </w:p>
        </w:tc>
      </w:tr>
      <w:tr>
        <w:tc>
          <w:tcPr>
            <w:tcW w:type="dxa" w:w="4513"/>
          </w:tcPr>
          <w:p>
            <w:pPr>
              <w:spacing w:line="240" w:lineRule="auto" w:after="40"/>
            </w:pPr>
            <w:r>
              <w:rPr>
                <w:rFonts w:ascii="Times New Roman" w:hAnsi="Times New Roman"/>
                <w:b w:val="0"/>
                <w:sz w:val="20"/>
              </w:rPr>
              <w:t>Legal basis for linkage</w:t>
            </w:r>
          </w:p>
        </w:tc>
        <w:tc>
          <w:tcPr>
            <w:tcW w:type="dxa" w:w="4513"/>
          </w:tcPr>
          <w:p>
            <w:pPr>
              <w:spacing w:line="240" w:lineRule="auto" w:after="40"/>
            </w:pPr>
            <w:r>
              <w:rPr>
                <w:rFonts w:ascii="Times New Roman" w:hAnsi="Times New Roman"/>
                <w:b w:val="0"/>
                <w:sz w:val="20"/>
              </w:rPr>
              <w:t>Statistical and research processing, as the existing effect measurement already relies on</w:t>
            </w:r>
          </w:p>
        </w:tc>
      </w:tr>
      <w:tr>
        <w:tc>
          <w:tcPr>
            <w:tcW w:type="dxa" w:w="4513"/>
          </w:tcPr>
          <w:p>
            <w:pPr>
              <w:spacing w:line="240" w:lineRule="auto" w:after="40"/>
            </w:pPr>
            <w:r>
              <w:rPr>
                <w:rFonts w:ascii="Times New Roman" w:hAnsi="Times New Roman"/>
                <w:b w:val="0"/>
                <w:sz w:val="20"/>
              </w:rPr>
              <w:t>Measurement window</w:t>
            </w:r>
          </w:p>
        </w:tc>
        <w:tc>
          <w:tcPr>
            <w:tcW w:type="dxa" w:w="4513"/>
          </w:tcPr>
          <w:p>
            <w:pPr>
              <w:spacing w:line="240" w:lineRule="auto" w:after="40"/>
            </w:pPr>
            <w:r>
              <w:rPr>
                <w:rFonts w:ascii="Times New Roman" w:hAnsi="Times New Roman"/>
                <w:b w:val="0"/>
                <w:sz w:val="20"/>
              </w:rPr>
              <w:t>Baseline at scoring; endline 24 months after project start</w:t>
            </w:r>
          </w:p>
        </w:tc>
      </w:tr>
      <w:tr>
        <w:tc>
          <w:tcPr>
            <w:tcW w:type="dxa" w:w="4513"/>
          </w:tcPr>
          <w:p>
            <w:pPr>
              <w:spacing w:line="240" w:lineRule="auto" w:after="40"/>
            </w:pPr>
            <w:r>
              <w:rPr>
                <w:rFonts w:ascii="Times New Roman" w:hAnsi="Times New Roman"/>
                <w:b w:val="0"/>
                <w:sz w:val="20"/>
              </w:rPr>
              <w:t>Required disclosure</w:t>
            </w:r>
          </w:p>
        </w:tc>
        <w:tc>
          <w:tcPr>
            <w:tcW w:type="dxa" w:w="4513"/>
          </w:tcPr>
          <w:p>
            <w:pPr>
              <w:spacing w:line="240" w:lineRule="auto" w:after="40"/>
            </w:pPr>
            <w:r>
              <w:rPr>
                <w:rFonts w:ascii="Times New Roman" w:hAnsi="Times New Roman"/>
                <w:b w:val="0"/>
                <w:sz w:val="20"/>
              </w:rPr>
              <w:t>Publication of all applicant scores and the cut-off</w:t>
            </w:r>
          </w:p>
        </w:tc>
      </w:tr>
      <w:tr>
        <w:tc>
          <w:tcPr>
            <w:tcW w:type="dxa" w:w="4513"/>
          </w:tcPr>
          <w:p>
            <w:pPr>
              <w:spacing w:line="240" w:lineRule="auto" w:after="40"/>
            </w:pPr>
            <w:r>
              <w:rPr>
                <w:rFonts w:ascii="Times New Roman" w:hAnsi="Times New Roman"/>
                <w:b w:val="0"/>
                <w:sz w:val="20"/>
              </w:rPr>
              <w:t>Marginal cost</w:t>
            </w:r>
          </w:p>
        </w:tc>
        <w:tc>
          <w:tcPr>
            <w:tcW w:type="dxa" w:w="4513"/>
          </w:tcPr>
          <w:p>
            <w:pPr>
              <w:spacing w:line="240" w:lineRule="auto" w:after="40"/>
            </w:pPr>
            <w:r>
              <w:rPr>
                <w:rFonts w:ascii="Times New Roman" w:hAnsi="Times New Roman"/>
                <w:b w:val="0"/>
                <w:sz w:val="20"/>
              </w:rPr>
              <w:t>Administrative only; neither budget nor allocation rule changes</w:t>
            </w:r>
          </w:p>
        </w:tc>
      </w:tr>
    </w:tbl>
    <w:p>
      <w:pPr>
        <w:spacing w:before="0" w:after="0"/>
        <w:jc w:val="both"/>
      </w:pPr>
    </w:p>
    <w:p>
      <w:pPr>
        <w:spacing w:before="0" w:after="120"/>
        <w:jc w:val="both"/>
      </w:pPr>
      <w:r>
        <w:rPr>
          <w:rFonts w:ascii="Times New Roman" w:hAnsi="Times New Roman"/>
          <w:b w:val="0"/>
          <w:i w:val="0"/>
          <w:sz w:val="24"/>
        </w:rPr>
        <w:t>The design is not novel, which is the point of proposing it. Howell evaluated the US Department of Energy's SBIR programme by exploiting the ranking of applicants, finding that an early-stage award roughly doubles the probability of subsequent venture capital and raises patenting and revenue, with effects strongest among the most financially constrained firms (Howell 2017), which is the subgroup a Danish SME scheme is aimed at. Santoleri and colleagues applied the same approach to the Horizon 2020 SME Instrument's own scoring threshold (Santoleri et al. 2022). SMV:Digital already scores applicants; what it does not do is retain the scores in a form that permits the comparison those studies made.</w:t>
      </w:r>
    </w:p>
    <w:p>
      <w:pPr>
        <w:spacing w:before="0" w:after="120"/>
        <w:jc w:val="both"/>
      </w:pPr>
      <w:r>
        <w:rPr>
          <w:rFonts w:ascii="Times New Roman" w:hAnsi="Times New Roman"/>
          <w:b w:val="0"/>
          <w:i w:val="0"/>
          <w:sz w:val="24"/>
        </w:rPr>
        <w:t>Two assumptions do the work, and the table separates them because they are routinely conflated. Continuity requires that firms just below the cut-off would, absent the grant, have done about as well as those just above, which is what makes the comparison a counterfactual. No-manipulation requires that firms cannot place themselves on the funded side at will, which is testable after the fact by inspecting the density of scores around the threshold. Assessor-scored applications satisfy the second more credibly than a self-reported eligibility rule would.</w:t>
      </w:r>
    </w:p>
    <w:p>
      <w:pPr>
        <w:spacing w:before="0" w:after="120"/>
        <w:jc w:val="both"/>
      </w:pPr>
      <w:r>
        <w:rPr>
          <w:rFonts w:ascii="Times New Roman" w:hAnsi="Times New Roman"/>
          <w:b w:val="0"/>
          <w:i w:val="0"/>
          <w:sz w:val="24"/>
        </w:rPr>
        <w:t>Three features carry the argument. Near the cut-off, whether a firm is funded turns on assessor variation rather than on the firm, so above and below are comparable on the unobservables that defeat matching, which is the entire gain over the present evaluation. Nothing about who receives money changes: the highest-scoring applicants are still funded, so the reform imposes no cost on applicants and needs no new appropriation. And the control arm already exists, since those firms are being turned away today; the scheme simply stops discarding the information that it turned them away at a known distance from a known threshold.</w:t>
      </w:r>
    </w:p>
    <w:p>
      <w:pPr>
        <w:spacing w:before="160" w:after="80"/>
        <w:jc w:val="left"/>
      </w:pPr>
      <w:r>
        <w:rPr>
          <w:rFonts w:ascii="Times New Roman" w:hAnsi="Times New Roman"/>
          <w:b/>
          <w:i w:val="0"/>
          <w:sz w:val="24"/>
        </w:rPr>
        <w:t>B.3 The alternative, and why it is rejected</w:t>
      </w:r>
    </w:p>
    <w:p>
      <w:pPr>
        <w:spacing w:before="0" w:after="120"/>
        <w:jc w:val="both"/>
      </w:pPr>
      <w:r>
        <w:rPr>
          <w:rFonts w:ascii="Times New Roman" w:hAnsi="Times New Roman"/>
          <w:b w:val="0"/>
          <w:i w:val="0"/>
          <w:sz w:val="24"/>
        </w:rPr>
        <w:t xml:space="preserve">The cleaner design is randomised allocation among eligible applicants, and an oversubscribed pool would supply it at no budgetary cost. Germany tried it. Under </w:t>
      </w:r>
      <w:r>
        <w:rPr>
          <w:rFonts w:ascii="Times New Roman" w:hAnsi="Times New Roman"/>
          <w:b w:val="0"/>
          <w:i/>
          <w:sz w:val="24"/>
        </w:rPr>
        <w:t>Digital Jetzt</w:t>
      </w:r>
      <w:r>
        <w:rPr>
          <w:rFonts w:ascii="Times New Roman" w:hAnsi="Times New Roman"/>
          <w:b w:val="0"/>
          <w:i w:val="0"/>
          <w:sz w:val="24"/>
        </w:rPr>
        <w:t xml:space="preserve">, the Bundesrechnungshof criticised allocation by lottery rather than on criteria, warning that firms would </w:t>
      </w:r>
      <w:r>
        <w:rPr>
          <w:rFonts w:ascii="Times New Roman" w:hAnsi="Times New Roman"/>
          <w:b/>
          <w:i w:val="0"/>
          <w:sz w:val="24"/>
        </w:rPr>
        <w:t>postpone</w:t>
      </w:r>
      <w:r>
        <w:rPr>
          <w:rFonts w:ascii="Times New Roman" w:hAnsi="Times New Roman"/>
          <w:b w:val="0"/>
          <w:i w:val="0"/>
          <w:sz w:val="24"/>
        </w:rPr>
        <w:t xml:space="preserve"> investment while waiting for a favourable draw, and called for the procedure to be discontinued (Bundesrechnungshof 2022). The objection is not a technicality about budget law: a lottery makes the grant a prize worth waiting for, and waiting is the opposite of the behaviour the scheme exists to produce. A scoring threshold carries no such incentive, because applying at the highest quality one can manage remains the dominant strategy whichever side of the cut-off one lands on.</w:t>
      </w:r>
    </w:p>
    <w:p>
      <w:pPr>
        <w:spacing w:before="160" w:after="80"/>
        <w:jc w:val="left"/>
      </w:pPr>
      <w:r>
        <w:rPr>
          <w:rFonts w:ascii="Times New Roman" w:hAnsi="Times New Roman"/>
          <w:b/>
          <w:i w:val="0"/>
          <w:sz w:val="24"/>
        </w:rPr>
        <w:t>B.4 What the design can and cannot deliver</w:t>
      </w:r>
    </w:p>
    <w:p>
      <w:pPr>
        <w:spacing w:before="0" w:after="120"/>
        <w:jc w:val="both"/>
      </w:pPr>
      <w:r>
        <w:rPr>
          <w:rFonts w:ascii="Times New Roman" w:hAnsi="Times New Roman"/>
          <w:b w:val="0"/>
          <w:i w:val="0"/>
          <w:sz w:val="24"/>
        </w:rPr>
        <w:t>The estimate is local to the threshold. It identifies the effect of the grant on marginal applicants, meaning firms the assessors found neither clearly strong nor clearly weak, and not on the strongest recipients, and not on Danish SMEs generally. That is a narrower quantity than the present evaluation claims, and a credible one, which is the trade the design makes.</w:t>
      </w:r>
    </w:p>
    <w:p>
      <w:pPr>
        <w:spacing w:before="0" w:after="120"/>
        <w:jc w:val="both"/>
      </w:pPr>
      <w:r>
        <w:rPr>
          <w:rFonts w:ascii="Times New Roman" w:hAnsi="Times New Roman"/>
          <w:b w:val="0"/>
          <w:i w:val="0"/>
          <w:sz w:val="24"/>
        </w:rPr>
        <w:t>It also cannot detect effects on firms deterred from applying at all, which Question 2 identifies as the larger population. A discontinuity measures the scheme; it does not measure the gap the scheme was built to close.</w:t>
      </w:r>
    </w:p>
    <w:p>
      <w:pPr>
        <w:spacing w:before="160" w:after="80"/>
        <w:jc w:val="left"/>
      </w:pPr>
      <w:r>
        <w:rPr>
          <w:rFonts w:ascii="Times New Roman" w:hAnsi="Times New Roman"/>
          <w:b/>
          <w:i w:val="0"/>
          <w:sz w:val="24"/>
        </w:rPr>
        <w:t>B.5 Timeline</w:t>
      </w:r>
    </w:p>
    <w:p>
      <w:pPr>
        <w:spacing w:before="0" w:after="120"/>
        <w:jc w:val="both"/>
      </w:pPr>
      <w:r>
        <w:rPr>
          <w:rFonts w:ascii="Times New Roman" w:hAnsi="Times New Roman"/>
          <w:b w:val="0"/>
          <w:i w:val="0"/>
          <w:sz w:val="24"/>
        </w:rPr>
        <w:t>Figure B2</w:t>
      </w:r>
    </w:p>
    <w:p>
      <w:pPr>
        <w:spacing w:before="0" w:after="120"/>
        <w:jc w:val="both"/>
      </w:pPr>
      <w:r>
        <w:rPr>
          <w:rFonts w:ascii="Times New Roman" w:hAnsi="Times New Roman"/>
          <w:b w:val="0"/>
          <w:i w:val="0"/>
          <w:sz w:val="24"/>
        </w:rPr>
        <w:t>The schedule is anchored on the grant pool opening 26 October 2026 (SMV:Digital 2026). The critical path runs through scoring and disclosure, not disbursement: every later step depends on the scores and the cut-off being recorded at the time, and none of it can be reconstructed afterwards. A scheme that allocates first and asks about effect later has already foreclosed the sharper answer, which is the position SMV:Digital is in today.</w:t>
      </w:r>
    </w:p>
    <w:p>
      <w:pPr>
        <w:spacing w:before="160" w:after="40"/>
        <w:jc w:val="center"/>
      </w:pPr>
      <w:r>
        <w:drawing>
          <wp:inline xmlns:a="http://schemas.openxmlformats.org/drawingml/2006/main" xmlns:pic="http://schemas.openxmlformats.org/drawingml/2006/picture">
            <wp:extent cx="5580000" cy="3065896"/>
            <wp:docPr id="14" name="Picture 14"/>
            <wp:cNvGraphicFramePr>
              <a:graphicFrameLocks noChangeAspect="1"/>
            </wp:cNvGraphicFramePr>
            <a:graphic>
              <a:graphicData uri="http://schemas.openxmlformats.org/drawingml/2006/picture">
                <pic:pic>
                  <pic:nvPicPr>
                    <pic:cNvPr id="0" name="fig8_smvdigital.png"/>
                    <pic:cNvPicPr/>
                  </pic:nvPicPr>
                  <pic:blipFill>
                    <a:blip r:embed="rId23"/>
                    <a:stretch>
                      <a:fillRect/>
                    </a:stretch>
                  </pic:blipFill>
                  <pic:spPr>
                    <a:xfrm>
                      <a:off x="0" y="0"/>
                      <a:ext cx="5580000" cy="3065896"/>
                    </a:xfrm>
                    <a:prstGeom prst="rect"/>
                  </pic:spPr>
                </pic:pic>
              </a:graphicData>
            </a:graphic>
          </wp:inline>
        </w:drawing>
      </w:r>
    </w:p>
    <w:p>
      <w:pPr>
        <w:spacing w:before="0" w:after="200" w:line="240" w:lineRule="auto"/>
        <w:jc w:val="center"/>
      </w:pPr>
      <w:r>
        <w:rPr>
          <w:rFonts w:ascii="Times New Roman" w:hAnsi="Times New Roman"/>
          <w:b w:val="0"/>
          <w:i/>
          <w:sz w:val="20"/>
        </w:rPr>
        <w:t>Figure B1. SMV:Digital participation: self-reported by participants to the scheme's own funder. Workbook F8.</w:t>
      </w:r>
    </w:p>
    <w:p>
      <w:pPr>
        <w:spacing w:before="160" w:after="40"/>
        <w:jc w:val="center"/>
      </w:pPr>
      <w:r>
        <w:drawing>
          <wp:inline xmlns:a="http://schemas.openxmlformats.org/drawingml/2006/main" xmlns:pic="http://schemas.openxmlformats.org/drawingml/2006/picture">
            <wp:extent cx="5580000" cy="2684264"/>
            <wp:docPr id="15" name="Picture 15"/>
            <wp:cNvGraphicFramePr>
              <a:graphicFrameLocks noChangeAspect="1"/>
            </wp:cNvGraphicFramePr>
            <a:graphic>
              <a:graphicData uri="http://schemas.openxmlformats.org/drawingml/2006/picture">
                <pic:pic>
                  <pic:nvPicPr>
                    <pic:cNvPr id="0" name="figA_f1_gantt.png"/>
                    <pic:cNvPicPr/>
                  </pic:nvPicPr>
                  <pic:blipFill>
                    <a:blip r:embed="rId24"/>
                    <a:stretch>
                      <a:fillRect/>
                    </a:stretch>
                  </pic:blipFill>
                  <pic:spPr>
                    <a:xfrm>
                      <a:off x="0" y="0"/>
                      <a:ext cx="5580000" cy="2684264"/>
                    </a:xfrm>
                    <a:prstGeom prst="rect"/>
                  </pic:spPr>
                </pic:pic>
              </a:graphicData>
            </a:graphic>
          </wp:inline>
        </w:drawing>
      </w:r>
    </w:p>
    <w:p>
      <w:pPr>
        <w:spacing w:before="0" w:after="200" w:line="240" w:lineRule="auto"/>
        <w:jc w:val="center"/>
      </w:pPr>
      <w:r>
        <w:rPr>
          <w:rFonts w:ascii="Times New Roman" w:hAnsi="Times New Roman"/>
          <w:b w:val="0"/>
          <w:i/>
          <w:sz w:val="20"/>
        </w:rPr>
        <w:t>Figure B2. Implementation and evaluation timeline for the SMV:Digital scoring-threshold design proposed in Question 2.</w:t>
      </w:r>
    </w:p>
    <w:p>
      <w:r>
        <w:br w:type="page"/>
      </w:r>
    </w:p>
    <w:p>
      <w:pPr>
        <w:spacing w:before="0" w:after="160"/>
        <w:jc w:val="left"/>
      </w:pPr>
      <w:r>
        <w:rPr>
          <w:rFonts w:ascii="Times New Roman" w:hAnsi="Times New Roman"/>
          <w:b/>
          <w:i w:val="0"/>
          <w:sz w:val="26"/>
        </w:rPr>
        <w:t>Appendix C. Reconciling the Exclusion Estimates</w:t>
      </w:r>
    </w:p>
    <w:p>
      <w:pPr>
        <w:spacing w:before="0" w:after="120"/>
        <w:jc w:val="both"/>
      </w:pPr>
      <w:r>
        <w:rPr>
          <w:rFonts w:ascii="Times New Roman" w:hAnsi="Times New Roman"/>
          <w:b w:val="0"/>
          <w:i w:val="0"/>
          <w:sz w:val="24"/>
        </w:rPr>
        <w:t>Question 4 reports five estimates of Danish digital exclusion ranging from 4.7% to 25%. They are not five measurements of one quantity, and this appendix sets out why, because the spread is the finding rather than an embarrassment.</w:t>
      </w:r>
    </w:p>
    <w:p>
      <w:pPr>
        <w:spacing w:before="160" w:after="80"/>
        <w:jc w:val="left"/>
      </w:pPr>
      <w:r>
        <w:rPr>
          <w:rFonts w:ascii="Times New Roman" w:hAnsi="Times New Roman"/>
          <w:b/>
          <w:i w:val="0"/>
          <w:sz w:val="24"/>
        </w:rPr>
        <w:t>C.1 The estimates differ in three ways at once</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pPr>
              <w:spacing w:line="240" w:lineRule="auto" w:after="40"/>
            </w:pPr>
            <w:r>
              <w:rPr>
                <w:rFonts w:ascii="Times New Roman" w:hAnsi="Times New Roman"/>
                <w:b/>
                <w:sz w:val="20"/>
              </w:rPr>
              <w:t>Estimate</w:t>
            </w:r>
          </w:p>
        </w:tc>
        <w:tc>
          <w:tcPr>
            <w:tcW w:type="dxa" w:w="1805"/>
          </w:tcPr>
          <w:p>
            <w:pPr>
              <w:spacing w:line="240" w:lineRule="auto" w:after="40"/>
            </w:pPr>
            <w:r>
              <w:rPr>
                <w:rFonts w:ascii="Times New Roman" w:hAnsi="Times New Roman"/>
                <w:b/>
                <w:sz w:val="20"/>
              </w:rPr>
              <w:t>Value</w:t>
            </w:r>
          </w:p>
        </w:tc>
        <w:tc>
          <w:tcPr>
            <w:tcW w:type="dxa" w:w="1805"/>
          </w:tcPr>
          <w:p>
            <w:pPr>
              <w:spacing w:line="240" w:lineRule="auto" w:after="40"/>
            </w:pPr>
            <w:r>
              <w:rPr>
                <w:rFonts w:ascii="Times New Roman" w:hAnsi="Times New Roman"/>
                <w:b/>
                <w:sz w:val="20"/>
              </w:rPr>
              <w:t>Year</w:t>
            </w:r>
          </w:p>
        </w:tc>
        <w:tc>
          <w:tcPr>
            <w:tcW w:type="dxa" w:w="1805"/>
          </w:tcPr>
          <w:p>
            <w:pPr>
              <w:spacing w:line="240" w:lineRule="auto" w:after="40"/>
            </w:pPr>
            <w:r>
              <w:rPr>
                <w:rFonts w:ascii="Times New Roman" w:hAnsi="Times New Roman"/>
                <w:b/>
                <w:sz w:val="20"/>
              </w:rPr>
              <w:t>Stated base</w:t>
            </w:r>
          </w:p>
        </w:tc>
        <w:tc>
          <w:tcPr>
            <w:tcW w:type="dxa" w:w="1805"/>
          </w:tcPr>
          <w:p>
            <w:pPr>
              <w:spacing w:line="240" w:lineRule="auto" w:after="40"/>
            </w:pPr>
            <w:r>
              <w:rPr>
                <w:rFonts w:ascii="Times New Roman" w:hAnsi="Times New Roman"/>
                <w:b/>
                <w:sz w:val="20"/>
              </w:rPr>
              <w:t>Source</w:t>
            </w:r>
          </w:p>
        </w:tc>
      </w:tr>
      <w:tr>
        <w:tc>
          <w:tcPr>
            <w:tcW w:type="dxa" w:w="1805"/>
          </w:tcPr>
          <w:p>
            <w:pPr>
              <w:spacing w:line="240" w:lineRule="auto" w:after="40"/>
            </w:pPr>
            <w:r>
              <w:rPr>
                <w:rFonts w:ascii="Times New Roman" w:hAnsi="Times New Roman"/>
                <w:b w:val="0"/>
                <w:sz w:val="20"/>
              </w:rPr>
              <w:t>Formally exempt from Digital Post</w:t>
            </w:r>
          </w:p>
        </w:tc>
        <w:tc>
          <w:tcPr>
            <w:tcW w:type="dxa" w:w="1805"/>
          </w:tcPr>
          <w:p>
            <w:pPr>
              <w:spacing w:line="240" w:lineRule="auto" w:after="40"/>
            </w:pPr>
            <w:r>
              <w:rPr>
                <w:rFonts w:ascii="Times New Roman" w:hAnsi="Times New Roman"/>
                <w:b w:val="0"/>
                <w:sz w:val="20"/>
              </w:rPr>
              <w:t>4.7%</w:t>
            </w:r>
          </w:p>
        </w:tc>
        <w:tc>
          <w:tcPr>
            <w:tcW w:type="dxa" w:w="1805"/>
          </w:tcPr>
          <w:p>
            <w:pPr>
              <w:spacing w:line="240" w:lineRule="auto" w:after="40"/>
            </w:pPr>
            <w:r>
              <w:rPr>
                <w:rFonts w:ascii="Times New Roman" w:hAnsi="Times New Roman"/>
                <w:b w:val="0"/>
                <w:sz w:val="20"/>
              </w:rPr>
              <w:t>2026</w:t>
            </w:r>
          </w:p>
        </w:tc>
        <w:tc>
          <w:tcPr>
            <w:tcW w:type="dxa" w:w="1805"/>
          </w:tcPr>
          <w:p>
            <w:pPr>
              <w:spacing w:line="240" w:lineRule="auto" w:after="40"/>
            </w:pPr>
            <w:r>
              <w:rPr>
                <w:rFonts w:ascii="Times New Roman" w:hAnsi="Times New Roman"/>
                <w:b w:val="0"/>
                <w:sz w:val="20"/>
              </w:rPr>
              <w:t>Citizens aged 15+</w:t>
            </w:r>
          </w:p>
        </w:tc>
        <w:tc>
          <w:tcPr>
            <w:tcW w:type="dxa" w:w="1805"/>
          </w:tcPr>
          <w:p>
            <w:pPr>
              <w:spacing w:line="240" w:lineRule="auto" w:after="40"/>
            </w:pPr>
            <w:r>
              <w:rPr>
                <w:rFonts w:ascii="Times New Roman" w:hAnsi="Times New Roman"/>
                <w:b w:val="0"/>
                <w:sz w:val="20"/>
              </w:rPr>
              <w:t>Digitaliseringsstyrelsen 2026</w:t>
            </w:r>
          </w:p>
        </w:tc>
      </w:tr>
      <w:tr>
        <w:tc>
          <w:tcPr>
            <w:tcW w:type="dxa" w:w="1805"/>
          </w:tcPr>
          <w:p>
            <w:pPr>
              <w:spacing w:line="240" w:lineRule="auto" w:after="40"/>
            </w:pPr>
            <w:r>
              <w:rPr>
                <w:rFonts w:ascii="Times New Roman" w:hAnsi="Times New Roman"/>
                <w:b w:val="0"/>
                <w:sz w:val="20"/>
              </w:rPr>
              <w:t>Do not use digital public services</w:t>
            </w:r>
          </w:p>
        </w:tc>
        <w:tc>
          <w:tcPr>
            <w:tcW w:type="dxa" w:w="1805"/>
          </w:tcPr>
          <w:p>
            <w:pPr>
              <w:spacing w:line="240" w:lineRule="auto" w:after="40"/>
            </w:pPr>
            <w:r>
              <w:rPr>
                <w:rFonts w:ascii="Times New Roman" w:hAnsi="Times New Roman"/>
                <w:b w:val="0"/>
                <w:sz w:val="20"/>
              </w:rPr>
              <w:t>6.5%</w:t>
            </w:r>
          </w:p>
        </w:tc>
        <w:tc>
          <w:tcPr>
            <w:tcW w:type="dxa" w:w="1805"/>
          </w:tcPr>
          <w:p>
            <w:pPr>
              <w:spacing w:line="240" w:lineRule="auto" w:after="40"/>
            </w:pPr>
            <w:r>
              <w:rPr>
                <w:rFonts w:ascii="Times New Roman" w:hAnsi="Times New Roman"/>
                <w:b w:val="0"/>
                <w:sz w:val="20"/>
              </w:rPr>
              <w:t>2026</w:t>
            </w:r>
          </w:p>
        </w:tc>
        <w:tc>
          <w:tcPr>
            <w:tcW w:type="dxa" w:w="1805"/>
          </w:tcPr>
          <w:p>
            <w:pPr>
              <w:spacing w:line="240" w:lineRule="auto" w:after="40"/>
            </w:pPr>
            <w:r>
              <w:rPr>
                <w:rFonts w:ascii="Times New Roman" w:hAnsi="Times New Roman"/>
                <w:b w:val="0"/>
                <w:sz w:val="20"/>
              </w:rPr>
              <w:t>Population</w:t>
            </w:r>
          </w:p>
        </w:tc>
        <w:tc>
          <w:tcPr>
            <w:tcW w:type="dxa" w:w="1805"/>
          </w:tcPr>
          <w:p>
            <w:pPr>
              <w:spacing w:line="240" w:lineRule="auto" w:after="40"/>
            </w:pPr>
            <w:r>
              <w:rPr>
                <w:rFonts w:ascii="Times New Roman" w:hAnsi="Times New Roman"/>
                <w:b w:val="0"/>
                <w:sz w:val="20"/>
              </w:rPr>
              <w:t>European Commission 2026</w:t>
            </w:r>
          </w:p>
        </w:tc>
      </w:tr>
      <w:tr>
        <w:tc>
          <w:tcPr>
            <w:tcW w:type="dxa" w:w="1805"/>
          </w:tcPr>
          <w:p>
            <w:pPr>
              <w:spacing w:line="240" w:lineRule="auto" w:after="40"/>
            </w:pPr>
            <w:r>
              <w:rPr>
                <w:rFonts w:ascii="Times New Roman" w:hAnsi="Times New Roman"/>
                <w:b w:val="0"/>
                <w:sz w:val="20"/>
              </w:rPr>
              <w:t>Report difficulty using them</w:t>
            </w:r>
          </w:p>
        </w:tc>
        <w:tc>
          <w:tcPr>
            <w:tcW w:type="dxa" w:w="1805"/>
          </w:tcPr>
          <w:p>
            <w:pPr>
              <w:spacing w:line="240" w:lineRule="auto" w:after="40"/>
            </w:pPr>
            <w:r>
              <w:rPr>
                <w:rFonts w:ascii="Times New Roman" w:hAnsi="Times New Roman"/>
                <w:b w:val="0"/>
                <w:sz w:val="20"/>
              </w:rPr>
              <w:t>16.5%</w:t>
            </w:r>
          </w:p>
        </w:tc>
        <w:tc>
          <w:tcPr>
            <w:tcW w:type="dxa" w:w="1805"/>
          </w:tcPr>
          <w:p>
            <w:pPr>
              <w:spacing w:line="240" w:lineRule="auto" w:after="40"/>
            </w:pPr>
            <w:r>
              <w:rPr>
                <w:rFonts w:ascii="Times New Roman" w:hAnsi="Times New Roman"/>
                <w:b w:val="0"/>
                <w:sz w:val="20"/>
              </w:rPr>
              <w:t>2026</w:t>
            </w:r>
          </w:p>
        </w:tc>
        <w:tc>
          <w:tcPr>
            <w:tcW w:type="dxa" w:w="1805"/>
          </w:tcPr>
          <w:p>
            <w:pPr>
              <w:spacing w:line="240" w:lineRule="auto" w:after="40"/>
            </w:pPr>
            <w:r>
              <w:rPr>
                <w:rFonts w:ascii="Times New Roman" w:hAnsi="Times New Roman"/>
                <w:b w:val="0"/>
                <w:sz w:val="20"/>
              </w:rPr>
              <w:t>Population</w:t>
            </w:r>
          </w:p>
        </w:tc>
        <w:tc>
          <w:tcPr>
            <w:tcW w:type="dxa" w:w="1805"/>
          </w:tcPr>
          <w:p>
            <w:pPr>
              <w:spacing w:line="240" w:lineRule="auto" w:after="40"/>
            </w:pPr>
            <w:r>
              <w:rPr>
                <w:rFonts w:ascii="Times New Roman" w:hAnsi="Times New Roman"/>
                <w:b w:val="0"/>
                <w:sz w:val="20"/>
              </w:rPr>
              <w:t>European Commission 2026</w:t>
            </w:r>
          </w:p>
        </w:tc>
      </w:tr>
      <w:tr>
        <w:tc>
          <w:tcPr>
            <w:tcW w:type="dxa" w:w="1805"/>
          </w:tcPr>
          <w:p>
            <w:pPr>
              <w:spacing w:line="240" w:lineRule="auto" w:after="40"/>
            </w:pPr>
            <w:r>
              <w:rPr>
                <w:rFonts w:ascii="Times New Roman" w:hAnsi="Times New Roman"/>
                <w:b w:val="0"/>
                <w:sz w:val="20"/>
              </w:rPr>
              <w:t>"Digitally disadvantaged"</w:t>
            </w:r>
          </w:p>
        </w:tc>
        <w:tc>
          <w:tcPr>
            <w:tcW w:type="dxa" w:w="1805"/>
          </w:tcPr>
          <w:p>
            <w:pPr>
              <w:spacing w:line="240" w:lineRule="auto" w:after="40"/>
            </w:pPr>
            <w:r>
              <w:rPr>
                <w:rFonts w:ascii="Times New Roman" w:hAnsi="Times New Roman"/>
                <w:b w:val="0"/>
                <w:sz w:val="20"/>
              </w:rPr>
              <w:t>17-22%</w:t>
            </w:r>
          </w:p>
        </w:tc>
        <w:tc>
          <w:tcPr>
            <w:tcW w:type="dxa" w:w="1805"/>
          </w:tcPr>
          <w:p>
            <w:pPr>
              <w:spacing w:line="240" w:lineRule="auto" w:after="40"/>
            </w:pPr>
            <w:r>
              <w:rPr>
                <w:rFonts w:ascii="Times New Roman" w:hAnsi="Times New Roman"/>
                <w:b w:val="0"/>
                <w:sz w:val="20"/>
              </w:rPr>
              <w:t>2025</w:t>
            </w:r>
          </w:p>
        </w:tc>
        <w:tc>
          <w:tcPr>
            <w:tcW w:type="dxa" w:w="1805"/>
          </w:tcPr>
          <w:p>
            <w:pPr>
              <w:spacing w:line="240" w:lineRule="auto" w:after="40"/>
            </w:pPr>
            <w:r>
              <w:rPr>
                <w:rFonts w:ascii="Times New Roman" w:hAnsi="Times New Roman"/>
                <w:b w:val="0"/>
                <w:sz w:val="20"/>
              </w:rPr>
              <w:t>Adult population</w:t>
            </w:r>
          </w:p>
        </w:tc>
        <w:tc>
          <w:tcPr>
            <w:tcW w:type="dxa" w:w="1805"/>
          </w:tcPr>
          <w:p>
            <w:pPr>
              <w:spacing w:line="240" w:lineRule="auto" w:after="40"/>
            </w:pPr>
            <w:r>
              <w:rPr>
                <w:rFonts w:ascii="Times New Roman" w:hAnsi="Times New Roman"/>
                <w:b w:val="0"/>
                <w:sz w:val="20"/>
              </w:rPr>
              <w:t>Digitaliseringsstyrelsen 2025c</w:t>
            </w:r>
          </w:p>
        </w:tc>
      </w:tr>
      <w:tr>
        <w:tc>
          <w:tcPr>
            <w:tcW w:type="dxa" w:w="1805"/>
          </w:tcPr>
          <w:p>
            <w:pPr>
              <w:spacing w:line="240" w:lineRule="auto" w:after="40"/>
            </w:pPr>
            <w:r>
              <w:rPr>
                <w:rFonts w:ascii="Times New Roman" w:hAnsi="Times New Roman"/>
                <w:b w:val="0"/>
                <w:sz w:val="20"/>
              </w:rPr>
              <w:t>Justitia estimate</w:t>
            </w:r>
          </w:p>
        </w:tc>
        <w:tc>
          <w:tcPr>
            <w:tcW w:type="dxa" w:w="1805"/>
          </w:tcPr>
          <w:p>
            <w:pPr>
              <w:spacing w:line="240" w:lineRule="auto" w:after="40"/>
            </w:pPr>
            <w:r>
              <w:rPr>
                <w:rFonts w:ascii="Times New Roman" w:hAnsi="Times New Roman"/>
                <w:b w:val="0"/>
                <w:sz w:val="20"/>
              </w:rPr>
              <w:t>Up to 25%</w:t>
            </w:r>
          </w:p>
        </w:tc>
        <w:tc>
          <w:tcPr>
            <w:tcW w:type="dxa" w:w="1805"/>
          </w:tcPr>
          <w:p>
            <w:pPr>
              <w:spacing w:line="240" w:lineRule="auto" w:after="40"/>
            </w:pPr>
            <w:r>
              <w:rPr>
                <w:rFonts w:ascii="Times New Roman" w:hAnsi="Times New Roman"/>
                <w:b w:val="0"/>
                <w:sz w:val="20"/>
              </w:rPr>
              <w:t>2022</w:t>
            </w:r>
          </w:p>
        </w:tc>
        <w:tc>
          <w:tcPr>
            <w:tcW w:type="dxa" w:w="1805"/>
          </w:tcPr>
          <w:p>
            <w:pPr>
              <w:spacing w:line="240" w:lineRule="auto" w:after="40"/>
            </w:pPr>
            <w:r>
              <w:rPr>
                <w:rFonts w:ascii="Times New Roman" w:hAnsi="Times New Roman"/>
                <w:b w:val="0"/>
                <w:sz w:val="20"/>
              </w:rPr>
              <w:t>Adult population</w:t>
            </w:r>
          </w:p>
        </w:tc>
        <w:tc>
          <w:tcPr>
            <w:tcW w:type="dxa" w:w="1805"/>
          </w:tcPr>
          <w:p>
            <w:pPr>
              <w:spacing w:line="240" w:lineRule="auto" w:after="40"/>
            </w:pPr>
            <w:r>
              <w:rPr>
                <w:rFonts w:ascii="Times New Roman" w:hAnsi="Times New Roman"/>
                <w:b w:val="0"/>
                <w:sz w:val="20"/>
              </w:rPr>
              <w:t>Justitia 2022</w:t>
            </w:r>
          </w:p>
        </w:tc>
      </w:tr>
    </w:tbl>
    <w:p>
      <w:pPr>
        <w:spacing w:before="0" w:after="0"/>
        <w:jc w:val="both"/>
      </w:pPr>
    </w:p>
    <w:p>
      <w:pPr>
        <w:spacing w:before="0" w:after="120"/>
        <w:jc w:val="both"/>
      </w:pPr>
      <w:r>
        <w:rPr>
          <w:rFonts w:ascii="Times New Roman" w:hAnsi="Times New Roman"/>
          <w:b w:val="0"/>
          <w:i w:val="0"/>
          <w:sz w:val="24"/>
        </w:rPr>
        <w:t>Three things vary together: what is being measured (a legal status, a behaviour, a self-reported difficulty, an analyst's category), the year, and the denominator. Any one of the three would make them non-comparable; all three together mean the ladder cannot be read as a series and the differences between its rungs cannot be taken.</w:t>
      </w:r>
    </w:p>
    <w:p>
      <w:pPr>
        <w:spacing w:before="160" w:after="80"/>
        <w:jc w:val="left"/>
      </w:pPr>
      <w:r>
        <w:rPr>
          <w:rFonts w:ascii="Times New Roman" w:hAnsi="Times New Roman"/>
          <w:b/>
          <w:i w:val="0"/>
          <w:sz w:val="24"/>
        </w:rPr>
        <w:t>C.2 What that rules out</w:t>
      </w:r>
    </w:p>
    <w:p>
      <w:pPr>
        <w:spacing w:before="0" w:after="120"/>
        <w:jc w:val="both"/>
      </w:pPr>
      <w:r>
        <w:rPr>
          <w:rFonts w:ascii="Times New Roman" w:hAnsi="Times New Roman"/>
          <w:b w:val="0"/>
          <w:i w:val="0"/>
          <w:sz w:val="24"/>
        </w:rPr>
        <w:t>An earlier draft of Question 4 subtracted 4.7% from 16.5% and multiplied the 11.8-percentage-point gap by the 15+ base to obtain "roughly 600,000 citizens." That calculation is invalid twice over. The two rates rest on different denominators, so their difference is not a quantity; and applying the 15+ base to a percentage defined on the total population understates the count. The corrected figures appear in Question 4 as two separate counts rather than a difference.</w:t>
      </w:r>
    </w:p>
    <w:p>
      <w:pPr>
        <w:spacing w:before="160" w:after="80"/>
        <w:jc w:val="left"/>
      </w:pPr>
      <w:r>
        <w:rPr>
          <w:rFonts w:ascii="Times New Roman" w:hAnsi="Times New Roman"/>
          <w:b/>
          <w:i w:val="0"/>
          <w:sz w:val="24"/>
        </w:rPr>
        <w:t>C.3 The ladder in people</w:t>
      </w:r>
    </w:p>
    <w:p>
      <w:pPr>
        <w:spacing w:before="0" w:after="120"/>
        <w:jc w:val="both"/>
      </w:pPr>
      <w:r>
        <w:rPr>
          <w:rFonts w:ascii="Times New Roman" w:hAnsi="Times New Roman"/>
          <w:b w:val="0"/>
          <w:i w:val="0"/>
          <w:sz w:val="24"/>
        </w:rPr>
        <w:t>Figure C1</w:t>
      </w:r>
    </w:p>
    <w:p>
      <w:pPr>
        <w:spacing w:before="0" w:after="120"/>
        <w:jc w:val="both"/>
      </w:pPr>
      <w:r>
        <w:rPr>
          <w:rFonts w:ascii="Times New Roman" w:hAnsi="Times New Roman"/>
          <w:b w:val="0"/>
          <w:i w:val="0"/>
          <w:sz w:val="24"/>
        </w:rPr>
        <w:t>Converting each estimate to a headcount on its own stated base makes the comparison legitimate, because counts of people share a unit where percentages of different populations do not.</w:t>
      </w:r>
    </w:p>
    <w:p>
      <w:pPr>
        <w:spacing w:before="0" w:after="120"/>
        <w:jc w:val="both"/>
      </w:pPr>
      <w:r>
        <w:rPr>
          <w:rFonts w:ascii="Times New Roman" w:hAnsi="Times New Roman"/>
          <w:b w:val="0"/>
          <w:i w:val="0"/>
          <w:sz w:val="24"/>
        </w:rPr>
        <w:t>Two of the five sources say "adult population" without defining it, and Denmark has no verified adult-population figure in this dataset. Those two are therefore shown as a range between the two defensible bases: the 15+ base of about 5.07 million implied by the Digital Post statistics, and the total population of 6,025,603 (Danmarks Statistik 2026). Choosing one silently is the error C.2 describes.</w:t>
      </w:r>
    </w:p>
    <w:p>
      <w:pPr>
        <w:spacing w:before="160" w:after="80"/>
        <w:jc w:val="left"/>
      </w:pPr>
      <w:r>
        <w:rPr>
          <w:rFonts w:ascii="Times New Roman" w:hAnsi="Times New Roman"/>
          <w:b/>
          <w:i w:val="0"/>
          <w:sz w:val="24"/>
        </w:rPr>
        <w:t>C.4 What survives</w:t>
      </w:r>
    </w:p>
    <w:p>
      <w:pPr>
        <w:spacing w:before="0" w:after="120"/>
        <w:jc w:val="both"/>
      </w:pPr>
      <w:r>
        <w:rPr>
          <w:rFonts w:ascii="Times New Roman" w:hAnsi="Times New Roman"/>
          <w:b w:val="0"/>
          <w:i w:val="0"/>
          <w:sz w:val="24"/>
        </w:rPr>
        <w:t>Exemption reaches 238,479 people. The narrowest estimate of need that measures difficulty rather than legal status is 16.5%, or roughly 994,000 on the stated base. The gap between the relief mechanism and the difficulty it relieves is therefore on the order of three-quarters of a million people, and that statement holds under any of the bases considered here, which is why Question 4 makes it in that form rather than as a precise subtraction.</w:t>
      </w:r>
    </w:p>
    <w:p>
      <w:pPr>
        <w:spacing w:before="160" w:after="40"/>
        <w:jc w:val="center"/>
      </w:pPr>
      <w:r>
        <w:drawing>
          <wp:inline xmlns:a="http://schemas.openxmlformats.org/drawingml/2006/main" xmlns:pic="http://schemas.openxmlformats.org/drawingml/2006/picture">
            <wp:extent cx="5580000" cy="3189398"/>
            <wp:docPr id="16" name="Picture 16"/>
            <wp:cNvGraphicFramePr>
              <a:graphicFrameLocks noChangeAspect="1"/>
            </wp:cNvGraphicFramePr>
            <a:graphic>
              <a:graphicData uri="http://schemas.openxmlformats.org/drawingml/2006/picture">
                <pic:pic>
                  <pic:nvPicPr>
                    <pic:cNvPr id="0" name="figA_d1_denominators.png"/>
                    <pic:cNvPicPr/>
                  </pic:nvPicPr>
                  <pic:blipFill>
                    <a:blip r:embed="rId25"/>
                    <a:stretch>
                      <a:fillRect/>
                    </a:stretch>
                  </pic:blipFill>
                  <pic:spPr>
                    <a:xfrm>
                      <a:off x="0" y="0"/>
                      <a:ext cx="5580000" cy="3189398"/>
                    </a:xfrm>
                    <a:prstGeom prst="rect"/>
                  </pic:spPr>
                </pic:pic>
              </a:graphicData>
            </a:graphic>
          </wp:inline>
        </w:drawing>
      </w:r>
    </w:p>
    <w:p>
      <w:pPr>
        <w:spacing w:before="0" w:after="200" w:line="240" w:lineRule="auto"/>
        <w:jc w:val="center"/>
      </w:pPr>
      <w:r>
        <w:rPr>
          <w:rFonts w:ascii="Times New Roman" w:hAnsi="Times New Roman"/>
          <w:b w:val="0"/>
          <w:i/>
          <w:sz w:val="20"/>
        </w:rPr>
        <w:t>Figure C1. The exclusion estimates converted to people on their own bases.</w:t>
      </w:r>
    </w:p>
    <w:p>
      <w:r>
        <w:br w:type="page"/>
      </w:r>
    </w:p>
    <w:p>
      <w:pPr>
        <w:spacing w:before="0" w:after="160"/>
        <w:jc w:val="left"/>
      </w:pPr>
      <w:r>
        <w:rPr>
          <w:rFonts w:ascii="Times New Roman" w:hAnsi="Times New Roman"/>
          <w:b/>
          <w:i w:val="0"/>
          <w:sz w:val="26"/>
        </w:rPr>
        <w:t>Appendix D. Comparative Law on Mandatory Digital Administration</w:t>
      </w:r>
    </w:p>
    <w:p>
      <w:pPr>
        <w:spacing w:before="0" w:after="120"/>
        <w:jc w:val="both"/>
      </w:pPr>
      <w:r>
        <w:rPr>
          <w:rFonts w:ascii="Times New Roman" w:hAnsi="Times New Roman"/>
          <w:b w:val="0"/>
          <w:i w:val="0"/>
          <w:sz w:val="24"/>
        </w:rPr>
        <w:t xml:space="preserve">Question 4 recommends widening the exemption criteria in </w:t>
      </w:r>
      <w:r>
        <w:rPr>
          <w:rFonts w:ascii="Times New Roman" w:hAnsi="Times New Roman"/>
          <w:b w:val="0"/>
          <w:i/>
          <w:sz w:val="24"/>
        </w:rPr>
        <w:t>Lov om Offentlig Digital Post</w:t>
      </w:r>
      <w:r>
        <w:rPr>
          <w:rFonts w:ascii="Times New Roman" w:hAnsi="Times New Roman"/>
          <w:b w:val="0"/>
          <w:i w:val="0"/>
          <w:sz w:val="24"/>
        </w:rPr>
        <w:t>. The case for doing so is not only domestic. Two European courts have in the last four years examined mandatory digital administration and set conditions Denmark's mandate does not meet, and one comparable state reached the same place without litigation at all. This appendix sets out each, and what follows for a Danish reform.</w:t>
      </w:r>
    </w:p>
    <w:p>
      <w:pPr>
        <w:spacing w:before="160" w:after="80"/>
        <w:jc w:val="left"/>
      </w:pPr>
      <w:r>
        <w:rPr>
          <w:rFonts w:ascii="Times New Roman" w:hAnsi="Times New Roman"/>
          <w:b/>
          <w:i w:val="0"/>
          <w:sz w:val="24"/>
        </w:rPr>
        <w:t>D.1 France: mandatory digital service is lawful only on conditions</w:t>
      </w:r>
    </w:p>
    <w:p>
      <w:pPr>
        <w:spacing w:before="0" w:after="120"/>
        <w:jc w:val="both"/>
      </w:pPr>
      <w:r>
        <w:rPr>
          <w:rFonts w:ascii="Times New Roman" w:hAnsi="Times New Roman"/>
          <w:b w:val="0"/>
          <w:i w:val="0"/>
          <w:sz w:val="24"/>
        </w:rPr>
        <w:t xml:space="preserve">In Decision No. 452798 of 3 June 2022, the Conseil d'État partially annulled the decree requiring residence-permit applications to be made through the ANEF portal (Conseil d'État 2022). The court accepted that a regulatory authority may compel the use of a digital service. It held that the obligation is lawful only where users retain normal access to the public service and can exercise their rights effectively, and that this must be assessed </w:t>
      </w:r>
      <w:r>
        <w:rPr>
          <w:rFonts w:ascii="Times New Roman" w:hAnsi="Times New Roman"/>
          <w:b w:val="0"/>
          <w:i/>
          <w:sz w:val="24"/>
        </w:rPr>
        <w:t>in concreto</w:t>
      </w:r>
      <w:r>
        <w:rPr>
          <w:rFonts w:ascii="Times New Roman" w:hAnsi="Times New Roman"/>
          <w:b w:val="0"/>
          <w:i w:val="0"/>
          <w:sz w:val="24"/>
        </w:rPr>
        <w:t xml:space="preserve"> against five criteria: the object of the service, the complexity of the procedure, its consequences for those affected, the characteristics of the digital tool, and the characteristics of the public concerned, including any difficulty it has in accessing or using online services.</w:t>
      </w:r>
    </w:p>
    <w:p>
      <w:pPr>
        <w:spacing w:before="0" w:after="120"/>
        <w:jc w:val="both"/>
      </w:pPr>
      <w:r>
        <w:rPr>
          <w:rFonts w:ascii="Times New Roman" w:hAnsi="Times New Roman"/>
          <w:b w:val="0"/>
          <w:i w:val="0"/>
          <w:sz w:val="24"/>
        </w:rPr>
        <w:t>Two remedies followed. The administration must provide support for users who need it, and a non-digital substitute route where the digital one fails. The reasoning is the one this report has been making empirically: a mandate is justified by the capability of the population it binds, not by the capability of the median user.</w:t>
      </w:r>
    </w:p>
    <w:p>
      <w:pPr>
        <w:spacing w:before="160" w:after="80"/>
        <w:jc w:val="left"/>
      </w:pPr>
      <w:r>
        <w:rPr>
          <w:rFonts w:ascii="Times New Roman" w:hAnsi="Times New Roman"/>
          <w:b/>
          <w:i w:val="0"/>
          <w:sz w:val="24"/>
        </w:rPr>
        <w:t>D.2 Belgium: the alternatives are cumulative, and cost is not a defence</w:t>
      </w:r>
    </w:p>
    <w:p>
      <w:pPr>
        <w:spacing w:before="0" w:after="120"/>
        <w:jc w:val="both"/>
      </w:pPr>
      <w:r>
        <w:rPr>
          <w:rFonts w:ascii="Times New Roman" w:hAnsi="Times New Roman"/>
          <w:b w:val="0"/>
          <w:i w:val="0"/>
          <w:sz w:val="24"/>
        </w:rPr>
        <w:t xml:space="preserve">In </w:t>
      </w:r>
      <w:r>
        <w:rPr>
          <w:rFonts w:ascii="Times New Roman" w:hAnsi="Times New Roman"/>
          <w:b w:val="0"/>
          <w:i/>
          <w:sz w:val="24"/>
        </w:rPr>
        <w:t>Arrêt</w:t>
      </w:r>
      <w:r>
        <w:rPr>
          <w:rFonts w:ascii="Times New Roman" w:hAnsi="Times New Roman"/>
          <w:b w:val="0"/>
          <w:i w:val="0"/>
          <w:sz w:val="24"/>
        </w:rPr>
        <w:t xml:space="preserve"> No. 126/2025 of 25 September 2025, the Cour constitutionnelle ruled on the Brussels Digital ordinance of 2024 in an action brought by twenty-four associations and unions (Cour constitutionnelle 2025). It held that three non-digital channels, namely a physical counter, a telephone service and a postal route, are </w:t>
      </w:r>
      <w:r>
        <w:rPr>
          <w:rFonts w:ascii="Times New Roman" w:hAnsi="Times New Roman"/>
          <w:b/>
          <w:i w:val="0"/>
          <w:sz w:val="24"/>
        </w:rPr>
        <w:t>cumulative</w:t>
      </w:r>
      <w:r>
        <w:rPr>
          <w:rFonts w:ascii="Times New Roman" w:hAnsi="Times New Roman"/>
          <w:b w:val="0"/>
          <w:i w:val="0"/>
          <w:sz w:val="24"/>
        </w:rPr>
        <w:t>: each must be offered alongside the digital channel. Any substitute must itself be non-digital and deliver an equivalent level of service. And the obligation does not lapse where meeting it imposes a disproportionate burden on the authority.</w:t>
      </w:r>
    </w:p>
    <w:p>
      <w:pPr>
        <w:spacing w:before="0" w:after="120"/>
        <w:jc w:val="both"/>
      </w:pPr>
      <w:r>
        <w:rPr>
          <w:rFonts w:ascii="Times New Roman" w:hAnsi="Times New Roman"/>
          <w:b w:val="0"/>
          <w:i w:val="0"/>
          <w:sz w:val="24"/>
        </w:rPr>
        <w:t>That last holding is the one that bites hardest on a business case. Denmark's justification for compulsory Digital Post is a projected saving (Question 4). The Belgian court's position is that the saving is not a reason the obligation ceases to apply, which, applied to a Danish debate conducted almost entirely in administrative-cost terms, reverses the burden of argument.</w:t>
      </w:r>
    </w:p>
    <w:p>
      <w:pPr>
        <w:spacing w:before="160" w:after="80"/>
        <w:jc w:val="left"/>
      </w:pPr>
      <w:r>
        <w:rPr>
          <w:rFonts w:ascii="Times New Roman" w:hAnsi="Times New Roman"/>
          <w:b/>
          <w:i w:val="0"/>
          <w:sz w:val="24"/>
        </w:rPr>
        <w:t>D.3 Norway: the digital default binds the administration, not the citizen</w:t>
      </w:r>
    </w:p>
    <w:p>
      <w:pPr>
        <w:spacing w:before="0" w:after="120"/>
        <w:jc w:val="both"/>
      </w:pPr>
      <w:r>
        <w:rPr>
          <w:rFonts w:ascii="Times New Roman" w:hAnsi="Times New Roman"/>
          <w:b w:val="0"/>
          <w:i w:val="0"/>
          <w:sz w:val="24"/>
        </w:rPr>
        <w:t xml:space="preserve">The sharper contrast is not litigated at all. Norway made electronic communication the administrative default, </w:t>
      </w:r>
      <w:r>
        <w:rPr>
          <w:rFonts w:ascii="Times New Roman" w:hAnsi="Times New Roman"/>
          <w:b w:val="0"/>
          <w:i/>
          <w:sz w:val="24"/>
        </w:rPr>
        <w:t>digitalt førstevalg</w:t>
      </w:r>
      <w:r>
        <w:rPr>
          <w:rFonts w:ascii="Times New Roman" w:hAnsi="Times New Roman"/>
          <w:b w:val="0"/>
          <w:i w:val="0"/>
          <w:sz w:val="24"/>
        </w:rPr>
        <w:t xml:space="preserve">, but under the eGovernment regulations the obligation runs to the public body, and every citizen keeps a statutory right to opt out, the </w:t>
      </w:r>
      <w:r>
        <w:rPr>
          <w:rFonts w:ascii="Times New Roman" w:hAnsi="Times New Roman"/>
          <w:b w:val="0"/>
          <w:i/>
          <w:sz w:val="24"/>
        </w:rPr>
        <w:t>reservasjonsrett</w:t>
      </w:r>
      <w:r>
        <w:rPr>
          <w:rFonts w:ascii="Times New Roman" w:hAnsi="Times New Roman"/>
          <w:b w:val="0"/>
          <w:i w:val="0"/>
          <w:sz w:val="24"/>
        </w:rPr>
        <w:t>. The opt-out is recorded in the Contact and Reservation Register, which authorities must check before dispatching; a citizen who has opted out must be sent decisions on paper (Digitaliseringsdirektoratet 2025). Roughly 200,000 people hold a reservation, and Digdir notes the number has lately been falling rather than rising.</w:t>
      </w:r>
    </w:p>
    <w:p>
      <w:pPr>
        <w:spacing w:before="0" w:after="120"/>
        <w:jc w:val="both"/>
      </w:pPr>
      <w:r>
        <w:rPr>
          <w:rFonts w:ascii="Times New Roman" w:hAnsi="Times New Roman"/>
          <w:b w:val="0"/>
          <w:i w:val="0"/>
          <w:sz w:val="24"/>
        </w:rPr>
        <w:t>Two features distinguish this from the Danish arrangement, and neither is about how digital the state is. The entitlement attaches to the citizen rather than to an administrative status they must first qualify for, so there is no gate of the kind Question 4 measures. And it is exercisable by telephone or on paper, which matters because an opt-out reachable only through the digital channel would be self-defeating. No rate is offered against Denmark's 4.7%: the Norwegian figure is a count of registrations and the base it should be taken on is not established by the source, which is the error Appendix C exists to name. The comparison worth making is the route rather than the rate: whether reaching a position outside the digital channel requires the state's permission or only the citizen's decision.</w:t>
      </w:r>
    </w:p>
    <w:p>
      <w:pPr>
        <w:spacing w:before="160" w:after="80"/>
        <w:jc w:val="left"/>
      </w:pPr>
      <w:r>
        <w:rPr>
          <w:rFonts w:ascii="Times New Roman" w:hAnsi="Times New Roman"/>
          <w:b/>
          <w:i w:val="0"/>
          <w:sz w:val="24"/>
        </w:rPr>
        <w:t>D.4 What this does and does not establish</w:t>
      </w:r>
    </w:p>
    <w:p>
      <w:pPr>
        <w:spacing w:before="0" w:after="120"/>
        <w:jc w:val="both"/>
      </w:pPr>
      <w:r>
        <w:rPr>
          <w:rFonts w:ascii="Times New Roman" w:hAnsi="Times New Roman"/>
          <w:b w:val="0"/>
          <w:i w:val="0"/>
          <w:sz w:val="24"/>
        </w:rPr>
        <w:t xml:space="preserve">Neither ruling binds Denmark, and Norway's arrangement is a policy choice rather than a legal requirement on anyone else. The Conseil d'État decision concerns French administrative law and a specific applicant population, namely foreign nationals seeking residence permits, whose vulnerability the court treated as material. The Belgian ruling construes a Brussels regional ordinance against Belgian constitutional guarantees. Neither is a holding about </w:t>
      </w:r>
      <w:r>
        <w:rPr>
          <w:rFonts w:ascii="Times New Roman" w:hAnsi="Times New Roman"/>
          <w:b w:val="0"/>
          <w:i/>
          <w:sz w:val="24"/>
        </w:rPr>
        <w:t>Lov om Offentlig Digital Post</w:t>
      </w:r>
      <w:r>
        <w:rPr>
          <w:rFonts w:ascii="Times New Roman" w:hAnsi="Times New Roman"/>
          <w:b w:val="0"/>
          <w:i w:val="0"/>
          <w:sz w:val="24"/>
        </w:rPr>
        <w:t>, and this appendix does not claim that Denmark's mandate is unlawful.</w:t>
      </w:r>
    </w:p>
    <w:p>
      <w:pPr>
        <w:spacing w:before="0" w:after="120"/>
        <w:jc w:val="both"/>
      </w:pPr>
      <w:r>
        <w:rPr>
          <w:rFonts w:ascii="Times New Roman" w:hAnsi="Times New Roman"/>
          <w:b w:val="0"/>
          <w:i w:val="0"/>
          <w:sz w:val="24"/>
        </w:rPr>
        <w:t xml:space="preserve">What they establish is narrower and still useful: that mandatory digital administration is contested law in comparable European jurisdictions, and that where courts have examined it they have converged on a condition Denmark's scheme does not satisfy. Act 603 of 2023 gives a non-digital alternative to citizens already exempt from Digital Post (Folketinget 2023). The French and Belgian rulings attach the entitlement to the </w:t>
      </w:r>
      <w:r>
        <w:rPr>
          <w:rFonts w:ascii="Times New Roman" w:hAnsi="Times New Roman"/>
          <w:b w:val="0"/>
          <w:i/>
          <w:sz w:val="24"/>
        </w:rPr>
        <w:t>difficulty</w:t>
      </w:r>
      <w:r>
        <w:rPr>
          <w:rFonts w:ascii="Times New Roman" w:hAnsi="Times New Roman"/>
          <w:b w:val="0"/>
          <w:i w:val="0"/>
          <w:sz w:val="24"/>
        </w:rPr>
        <w:t>, not to a prior administrative status. That is precisely the gap Question 4 measured and Question 4 proposes to close, and the comparison shows the proposal is not an outlier but a convergence.</w:t>
      </w:r>
    </w:p>
    <w:p>
      <w:pPr>
        <w:spacing w:before="0" w:after="120"/>
        <w:jc w:val="both"/>
      </w:pPr>
      <w:r>
        <w:rPr>
          <w:rFonts w:ascii="Times New Roman" w:hAnsi="Times New Roman"/>
          <w:b w:val="0"/>
          <w:i w:val="0"/>
          <w:sz w:val="24"/>
        </w:rPr>
        <w:t>The point has also been made domestically. The Danish Institute for Human Rights, Denmark's national human rights institution, examined rights in the digital welfare state in December 2023 (Institut for Menneskerettigheder 2023). That a domestic body reached the subject independently of the litigation abroad is the more relevant fact here: the question is live in Denmark, not imported into it.</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