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onto digital public services. It required them. *Lov om Offentlig Digital Post* (Denmark 2012) made a state-run digital mailbox the default legal channel for public correspondence — compulsory for businesses from 2013 and for every citizen aged 15 and over from 1 November 2014. Enrolment is automatic, and §10 deems delivery effective when a message becomes available rather than when it is read, so the consequence of non-engagement falls on the recipient. Exemption exists, but only against statutory criteria (Table 1).</w:t>
      </w:r>
    </w:p>
    <w:p>
      <w:pPr>
        <w:spacing w:before="0" w:after="120"/>
        <w:jc w:val="both"/>
      </w:pPr>
      <w:r>
        <w:rPr>
          <w:rFonts w:ascii="Times New Roman" w:hAnsi="Times New Roman"/>
          <w:b w:val="0"/>
          <w:i w:val="0"/>
          <w:sz w:val="24"/>
        </w:rPr>
        <w:t>The mandate rode on a single national identity credential: NemID, replaced by MitID from October 2021 and withdrawn on 31 October 2023 (Digitaliseringsstyrelsen 2025a). That pairing is the design. A mandate alone moves letters; a mandate plus one universal credential builds a *rail* — an authentication layer every Dane must hold and every firm may build on without financing its adoption. Rails are innovation infrastructure: they lower the fixed cost of whatever is built on top.</w:t>
      </w:r>
    </w:p>
    <w:p>
      <w:pPr>
        <w:spacing w:before="0" w:after="120"/>
        <w:jc w:val="both"/>
      </w:pPr>
      <w:r>
        <w:rPr>
          <w:rFonts w:ascii="Times New Roman" w:hAnsi="Times New Roman"/>
          <w:b w:val="0"/>
          <w:i w:val="0"/>
          <w:sz w:val="24"/>
        </w:rPr>
        <w:t>Compulsion is also why the adoption statistics that follow need care. After 1 November 2014, enrolment measures compliance with a legal obligation, not revealed demand. That distinction governs this report.</w:t>
      </w:r>
    </w:p>
    <w:p>
      <w:pPr>
        <w:spacing w:before="0" w:after="120"/>
        <w:jc w:val="both"/>
      </w:pPr>
      <w:r>
        <w:rPr>
          <w:rFonts w:ascii="Times New Roman" w:hAnsi="Times New Roman"/>
          <w:b w:val="0"/>
          <w:i w:val="0"/>
          <w:sz w:val="24"/>
        </w:rPr>
        <w:t>The programme was justified on a number: the Ministry of Finance business case projected savings of approximately DKK 1,000 million a year (Rigsrevisionen 2016), the return that warranted compelling the entire adult population, currently about 5.1 million people (Digitaliseringsstyrelsen 2026). Section 6 returns to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The rail's value is not that Danes use it — compulsion settles that — but what others built on it, and where that building stopped.</w:t>
      </w:r>
    </w:p>
    <w:p>
      <w:pPr>
        <w:spacing w:before="0" w:after="120"/>
        <w:jc w:val="both"/>
      </w:pPr>
      <w:r>
        <w:rPr>
          <w:rFonts w:ascii="Times New Roman" w:hAnsi="Times New Roman"/>
          <w:b w:val="0"/>
          <w:i w:val="0"/>
          <w:sz w:val="24"/>
        </w:rPr>
        <w:t>Banking shows the magnitude. Danish retail bank branches fell from 2,025 in 2004 to 665 in 2024, a decline of 67.2% (Figure 1; Finans Danmark 2025). Read alone, that suggests digitalisation destroyed banking employment. The longer series refuses it: between 1991 and 2024 the number of financial institutions fell by 76.7%, from 219 to 51, while bank employment fell by only 29.4%, from roughly 51,000 to 36,000 (Figure 2). Staff per surviving institution therefore rose from 233 to 706, an increase of 203%: consolidation concentrated the sector rather than shedding it. The branch series begins only in 2004, so the three changes span different windows and must not be differenced (Appendix B).</w:t>
      </w:r>
    </w:p>
    <w:p>
      <w:pPr>
        <w:spacing w:before="0" w:after="120"/>
        <w:jc w:val="both"/>
      </w:pPr>
      <w:r>
        <w:rPr>
          <w:rFonts w:ascii="Times New Roman" w:hAnsi="Times New Roman"/>
          <w:b w:val="0"/>
          <w:i w:val="0"/>
          <w:sz w:val="24"/>
        </w:rPr>
        <w:t>Payments moved with it. Cash fell from 23% to 9% of the *number* of payments in physical retail between 2017 and 2025, to under two-fifths of its 2017 share, while card-based mobile wallets reached 32% of the same measure (Danmarks Nationalbank 2025). Much of this is displacement within digital instruments: wallet payments are card payments, and the physical card share fell from 73% to 54% (Appendix E). What replaced cash was mostly a new interface onto existing card infrastructure — which is what a rail makes cheap to build. Cash acceptance remains a statutory obligation on shops under *lov om betalinger* §81, narrowed but not removed in 2022 (Finanstilsynet 2025).</w:t>
      </w:r>
    </w:p>
    <w:p>
      <w:pPr>
        <w:spacing w:before="0" w:after="120"/>
        <w:jc w:val="both"/>
      </w:pPr>
      <w:r>
        <w:rPr>
          <w:rFonts w:ascii="Times New Roman" w:hAnsi="Times New Roman"/>
          <w:b w:val="0"/>
          <w:i w:val="0"/>
          <w:sz w:val="24"/>
        </w:rPr>
        <w:t>Does wider consumer adoption accompany greater commercial activity? Figure 3 plots the share of internet users purchasing online against enterprise e-sales turnover across the European Union in 2024. On the 18 member states holding both measures, the fitted slope is +0.602 percentage points of turnover per percentage point of adoption (standard error 0.105; t = 5.75 on 16 degrees of freedom; 95% confidence interval [0.380, 0.824]; R² = 0.674) (Eurostat 2026a; Eurostat 2025c).</w:t>
      </w:r>
    </w:p>
    <w:p>
      <w:pPr>
        <w:spacing w:before="0" w:after="120"/>
        <w:jc w:val="both"/>
      </w:pPr>
      <w:r>
        <w:rPr>
          <w:rFonts w:ascii="Times New Roman" w:hAnsi="Times New Roman"/>
          <w:b w:val="0"/>
          <w:i w:val="0"/>
          <w:sz w:val="24"/>
        </w:rPr>
        <w:t>Appendix C reports the diagnostics; three matter here. An earlier version drew its adoption values from a Eurostat news release (Eurostat 2025a) naming only the distribution's ends, where the fit was R² 0.853 against 0.674 here and the slope moved by 8% — selection bias measured rather than asserted. The slope survives dropping any single state, ranging [0.516, 0.672]. And the nine states absent for want of the turnover measure are indistinguishable from the plotted eighteen on adoption (p ≈ 0.71).</w:t>
      </w:r>
    </w:p>
    <w:p>
      <w:pPr>
        <w:spacing w:before="0" w:after="120"/>
        <w:jc w:val="both"/>
      </w:pPr>
      <w:r>
        <w:rPr>
          <w:rFonts w:ascii="Times New Roman" w:hAnsi="Times New Roman"/>
          <w:b w:val="0"/>
          <w:i w:val="0"/>
          <w:sz w:val="24"/>
        </w:rPr>
        <w:t>Causation is neither established nor establishable from this design. Adoption measures consumers; turnover measures enterprises, including business-to-business ordering no consumer touches. Both plausibly rise with national income, which appears on neither axis. Denmark sits above the fitted line, but by less than one residual standard error and behind three other member states: consistent with the European pattern, not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subjects in Denmark and they point opposite ways. Citizen breadth is near-complete: 90.86% of Danish internet users bought online in 2024, third of the twenty-seven member states (Eurostat 2026a); the ranking is in Appendix E. Enterprise breadth is not. Only 38.78% of Danish enterprises make any e-sales at all — second in the Union, behind Lithuania's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moved where breadth did not. E-sales rose from 17.05% of enterprise turnover in 2014 to 33.31% in 2024, while the EU-27 average rose from 16.43% to 19.49% (Figure 4). Both began the decade level; Denmark roughly doubled, the EU gained three percentage points.</w:t>
      </w:r>
    </w:p>
    <w:p>
      <w:pPr>
        <w:spacing w:before="0" w:after="120"/>
        <w:jc w:val="both"/>
      </w:pPr>
      <w:r>
        <w:rPr>
          <w:rFonts w:ascii="Times New Roman" w:hAnsi="Times New Roman"/>
          <w:b w:val="0"/>
          <w:i w:val="0"/>
          <w:sz w:val="24"/>
        </w:rPr>
        <w:t>The same pattern governs the newest technology, and identifies who could build on the rail. In 2025, 42.03% of Danish enterprises used artificial intelligence — but 74.52% of large firms against 40.99% of small and medium-sized ones, a gap of 33.53 points (Figure 5; European Commission 2026). This is not a connectivity or literacy failure: 92.45% of Danish SMEs clear the basic digital-intensity threshold, against an EU average of 71.39%. What they lack is the complementary capital — data, integration, specialist staff — that turns access into application, and that capital is distributed by firm size. Compulsion can mandate access to infrastructure; it cannot mandate the absorptive capacity that turns infrastructure into product.</w:t>
      </w:r>
    </w:p>
    <w:p>
      <w:pPr>
        <w:spacing w:before="0" w:after="120"/>
        <w:jc w:val="both"/>
      </w:pPr>
      <w:r>
        <w:rPr>
          <w:rFonts w:ascii="Times New Roman" w:hAnsi="Times New Roman"/>
          <w:b w:val="0"/>
          <w:i w:val="0"/>
          <w:sz w:val="24"/>
        </w:rPr>
        <w:t>Nor did it guarantee quality. Denmark scores 82.2 on the Digital Decade measure of digital public services for citizens, below the EU average of 84.64: Europe's most compulsory digital government delivers below-average services through it.</w:t>
      </w:r>
    </w:p>
    <w:p>
      <w:pPr>
        <w:spacing w:before="0" w:after="120"/>
        <w:jc w:val="both"/>
      </w:pPr>
      <w:r>
        <w:rPr>
          <w:rFonts w:ascii="Times New Roman" w:hAnsi="Times New Roman"/>
          <w:b w:val="0"/>
          <w:i w:val="0"/>
          <w:sz w:val="24"/>
        </w:rPr>
        <w:t>That diagnosis is Sustainable Development Goal 8, Target 8.2 — productivity growth through technological upgrading. Denmark's binding constraint on 8.2 is not adoption but diffusion: the productivity gain sits with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rail left behind</w:t>
      </w:r>
    </w:p>
    <w:p>
      <w:pPr>
        <w:spacing w:before="0" w:after="120"/>
        <w:jc w:val="both"/>
      </w:pPr>
      <w:r>
        <w:rPr>
          <w:rFonts w:ascii="Times New Roman" w:hAnsi="Times New Roman"/>
          <w:b w:val="0"/>
          <w:i w:val="0"/>
          <w:sz w:val="24"/>
        </w:rPr>
        <w:t>Start where the mandate bites hardest. Among Danish citizens aged 75–84, 20% hold a formal exemption from Digital Post; among those 85 and over, 33% do (Digitaliseringsstyrelsen 2026). One in three of the oldest cohort sits legally outside a system the state made compulsory. These are 2022 figures and the headline rate below is from 2026: complementary measures of the same exclusion, not points on a trend.</w:t>
      </w:r>
    </w:p>
    <w:p>
      <w:pPr>
        <w:spacing w:before="0" w:after="120"/>
        <w:jc w:val="both"/>
      </w:pPr>
      <w:r>
        <w:rPr>
          <w:rFonts w:ascii="Times New Roman" w:hAnsi="Times New Roman"/>
          <w:b w:val="0"/>
          <w:i w:val="0"/>
          <w:sz w:val="24"/>
        </w:rPr>
        <w:t>Against that, the aggregate looks small: in the first quarter of 2026, 4.7% of citizens aged 15 and over — 238,479 people — were exempt. It is small because the affected population is small, not because exclusion is rare where it lands.</w:t>
      </w:r>
    </w:p>
    <w:p>
      <w:pPr>
        <w:spacing w:before="0" w:after="120"/>
        <w:jc w:val="both"/>
      </w:pPr>
      <w:r>
        <w:rPr>
          <w:rFonts w:ascii="Times New Roman" w:hAnsi="Times New Roman"/>
          <w:b w:val="0"/>
          <w:i w:val="0"/>
          <w:sz w:val="24"/>
        </w:rPr>
        <w:t>Exemption is also the narrowest available measure. Figure 6 sets it against four wider estimates. They are not strictly comparable — measure, year and denominator all differ — so read it as a ladder, not a series; Appendix D reconciles them. Some 6.5% of Danes do not use digital public services at all and 16.5% report difficulty using them (European Commission 2026); the widest estimates reach a quarter of adults ((Digitaliseringsstyrelsen 2025d); (Justitia 2022)). The counts are clearer than the percentages: exemption reaches 238,479 people, while 16.5% of a population of 6.03 million (Danmarks Statistik 2026) is roughly 994,000, the lowest credible estimate of need. On the order of 750,000 Danes struggle with a compulsory system and hold no formal standing outside it.</w:t>
      </w:r>
    </w:p>
    <w:p>
      <w:pPr>
        <w:spacing w:before="0" w:after="120"/>
        <w:jc w:val="both"/>
      </w:pPr>
      <w:r>
        <w:rPr>
          <w:rFonts w:ascii="Times New Roman" w:hAnsi="Times New Roman"/>
          <w:b w:val="0"/>
          <w:i w:val="0"/>
          <w:sz w:val="24"/>
        </w:rPr>
        <w:t>Weak digital skills would be the convenient explanation; the data refuse it. Denmark's weakest age band, 55–74, reaches 67.81% with at least basic digital skills against an EU average of 42.60%. Denmark leads the Union in all three bands, and its gradient from youngest to oldest is 24.25 percentage points against the EU's 31.95 (Figure 7).</w:t>
      </w:r>
    </w:p>
    <w:p>
      <w:pPr>
        <w:spacing w:before="0" w:after="120"/>
        <w:jc w:val="both"/>
      </w:pPr>
      <w:r>
        <w:rPr>
          <w:rFonts w:ascii="Times New Roman" w:hAnsi="Times New Roman"/>
          <w:b w:val="0"/>
          <w:i w:val="0"/>
          <w:sz w:val="24"/>
        </w:rPr>
        <w:t>The exclusion is therefore administrative, not a capability deficit: the mandate was calibrated above the bottom of its own distribution, and the exemption criteria were drawn narrower than the difficulty they relieve. A rail everyone must board and a sixth of the population finds hard to use is a universal obligation, not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[Guest lecture question]</w:t>
      </w:r>
    </w:p>
    <w:p>
      <w:pPr>
        <w:spacing w:before="0" w:after="80"/>
        <w:jc w:val="center"/>
      </w:pPr>
      <w:r>
        <w:rPr>
          <w:rFonts w:ascii="Times New Roman" w:hAnsi="Times New Roman"/>
          <w:b/>
          <w:i w:val="0"/>
          <w:color w:val="C00000"/>
          <w:sz w:val="24"/>
        </w:rPr>
        <w:t>*** DO NOT SUBMIT WITH THIS SECTION IN PLACE ***</w:t>
      </w:r>
    </w:p>
    <w:p>
      <w:pPr>
        <w:spacing w:before="0" w:after="240"/>
        <w:jc w:val="center"/>
      </w:pPr>
      <w:r>
        <w:rPr>
          <w:rFonts w:ascii="Times New Roman" w:hAnsi="Times New Roman"/>
          <w:b w:val="0"/>
          <w:i/>
          <w:color w:val="C00000"/>
          <w:sz w:val="24"/>
        </w:rPr>
        <w:t>NOT DRAFTED - blocked pending the guest lecture content. 280 words are reserved in the word budget.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The report opened on a projection of roughly DKK 1,000 million a year. Rigsrevisionen could verify DKK 450 million of it — postage, paper and envelopes. The wage and overhead component was never substantiated, and the study meant to settle it was abandoned when the municipalities declined to take part (Rigsrevisionen 2016). Denmark compels its adult population onto a business case 55% unaudited.</w:t>
      </w:r>
    </w:p>
    <w:p>
      <w:pPr>
        <w:spacing w:before="0" w:after="120"/>
        <w:jc w:val="both"/>
      </w:pPr>
      <w:r>
        <w:rPr>
          <w:rFonts w:ascii="Times New Roman" w:hAnsi="Times New Roman"/>
          <w:b w:val="0"/>
          <w:i w:val="0"/>
          <w:sz w:val="24"/>
        </w:rPr>
        <w:t>Two measures follow. First, the exemption criteria in *Lov om Offentlig Digital Post* should be widened to admit documented difficulty. Denmark already fixed the adjacent problem: since June 2023 an exempt citizen is entitled, on request, to a non-digital alternative to any mandatory self-service solution (Folketinget 2023). That decoupled the channel from the obligation but left the gate untouched, because the right runs only to those already exempt. Section 4 measured that gate: roughly three-quarters of a million people report the difficulty the 2023 Act relieves and cannot reach the relief. The Conseil d'État (Conseil d'Etat 2022) and the Belgian Cour constitutionnelle (Cour constitutionnelle 2025) have both since attached the entitlement to the difficulty rather than to a prior status (Appendix G).</w:t>
      </w:r>
    </w:p>
    <w:p>
      <w:pPr>
        <w:spacing w:before="0" w:after="120"/>
        <w:jc w:val="both"/>
      </w:pPr>
      <w:r>
        <w:rPr>
          <w:rFonts w:ascii="Times New Roman" w:hAnsi="Times New Roman"/>
          <w:b w:val="0"/>
          <w:i w:val="0"/>
          <w:sz w:val="24"/>
        </w:rPr>
        <w:t>Second, SMV:Digital should be redirected toward complementary capability — data integration and specialist skills, the binding constraint identified in Section 3. Its effect is better evidenced than most such schemes: Digitaliseringsstyrelsen matches recipients to comparable firms in the Danmarks Statistik registers and finds revenue growth five percentage points higher (Digitaliseringsstyrelsen 2025b). But matching handles selection on what the registers record — sector, size, age, prior trajectory — not on what they do not, and for a voluntary scheme that residual is the whole problem: a manager ambitious enough to apply is ambitious enough to grow unaided. The next pool opens 26 October 2026 (SMV:Digital 2026), and its eligibility scoring already produces a threshold that would identify the effect directly. Appendix F specifies the instrument, its outcome measures and its timeline.</w:t>
      </w:r>
    </w:p>
    <w:p>
      <w:pPr>
        <w:spacing w:before="0" w:after="120"/>
        <w:jc w:val="both"/>
      </w:pPr>
      <w:r>
        <w:rPr>
          <w:rFonts w:ascii="Times New Roman" w:hAnsi="Times New Roman"/>
          <w:b w:val="0"/>
          <w:i w:val="0"/>
          <w:sz w:val="24"/>
        </w:rPr>
        <w:t>Both follow from one reading: Denmark built a rail, then left who could board it, and who could build on it, to a capability it never distributed. The evidence has limits, set out in Appendices A to C — not least that Section 2's cross-section establishes association, not cause.</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Wirtschaftsfuehrung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d'Etat 2022, Decision No. 452798, 3 June 2022, Conseil d'Etat,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Arret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Effektmaaling af SMV:Digital, June 2025, Agency for Digital Government, accessed 13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2025d,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Eurostat 2026b, Labour productivity per person employed and hour worked (EU27_2020=100), dataset tesem160, last updated 9 September 2026, Eurostat, accessed 13 September 2026, &lt;https://ec.europa.eu/eurostat/databrowser/view/tesem160/default/table?lang=en&gt;.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r>
        <w:br w:type="page"/>
      </w:r>
    </w:p>
    <w:p>
      <w:pPr>
        <w:spacing w:before="0" w:after="160"/>
        <w:jc w:val="left"/>
      </w:pPr>
      <w:r>
        <w:rPr>
          <w:rFonts w:ascii="Times New Roman" w:hAnsi="Times New Roman"/>
          <w:b/>
          <w:i w:val="0"/>
          <w:sz w:val="26"/>
        </w:rPr>
        <w:t>Appendix A. AI Use and Validation</w:t>
      </w:r>
    </w:p>
    <w:p>
      <w:pPr>
        <w:spacing w:before="160" w:after="80"/>
        <w:jc w:val="left"/>
      </w:pPr>
      <w:r>
        <w:rPr>
          <w:rFonts w:ascii="Times New Roman" w:hAnsi="Times New Roman"/>
          <w:b/>
          <w:i w:val="0"/>
          <w:sz w:val="24"/>
        </w:rPr>
        <w:t>A.1 Declaration</w:t>
      </w:r>
    </w:p>
    <w:p>
      <w:pPr>
        <w:spacing w:before="0" w:after="120"/>
        <w:jc w:val="both"/>
      </w:pPr>
      <w:r>
        <w:rPr>
          <w:rFonts w:ascii="Times New Roman" w:hAnsi="Times New Roman"/>
          <w:b w:val="0"/>
          <w:i w:val="0"/>
          <w:sz w:val="24"/>
        </w:rPr>
        <w:t>Generative AI was used throughout the assembly of this report's dataset and in drafting its prose. The tool and version were **[TOOL AND VERSION — to be completed by the author]**, used between the start of data assembly and submission on 17 September 2026. This appendix states what was delegated, how each delegation was checked, and — the part that matters — four occasions on which AI assistance introduced an error that validation caught and removed.</w:t>
      </w:r>
    </w:p>
    <w:p>
      <w:pPr>
        <w:spacing w:before="0" w:after="120"/>
        <w:jc w:val="both"/>
      </w:pPr>
      <w:r>
        <w:rPr>
          <w:rFonts w:ascii="Times New Roman" w:hAnsi="Times New Roman"/>
          <w:b w:val="0"/>
          <w:i w:val="0"/>
          <w:sz w:val="24"/>
        </w:rPr>
        <w:t>The governing principle was that corrections are recorded, not erased. Every error described below is still visible in the accompanying workbook, in sheets `07_LIMITATIONS` and `08_AI_LOG`. A marker can verify that the checks happened rather than taking this appendix's word for it.</w:t>
      </w:r>
    </w:p>
    <w:p>
      <w:pPr>
        <w:spacing w:before="160" w:after="80"/>
        <w:jc w:val="left"/>
      </w:pPr>
      <w:r>
        <w:rPr>
          <w:rFonts w:ascii="Times New Roman" w:hAnsi="Times New Roman"/>
          <w:b/>
          <w:i w:val="0"/>
          <w:sz w:val="24"/>
        </w:rPr>
        <w:t>A.2 Use, and how each use was validated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Step</w:t>
            </w:r>
          </w:p>
        </w:tc>
        <w:tc>
          <w:tcPr>
            <w:tcW w:type="dxa" w:w="2340"/>
          </w:tcPr>
          <w:p>
            <w:pPr>
              <w:spacing w:line="240" w:lineRule="auto" w:after="40"/>
            </w:pPr>
            <w:r>
              <w:rPr>
                <w:rFonts w:ascii="Times New Roman" w:hAnsi="Times New Roman"/>
                <w:b/>
                <w:sz w:val="20"/>
              </w:rPr>
              <w:t>Assistance used</w:t>
            </w:r>
          </w:p>
        </w:tc>
        <w:tc>
          <w:tcPr>
            <w:tcW w:type="dxa" w:w="2340"/>
          </w:tcPr>
          <w:p>
            <w:pPr>
              <w:spacing w:line="240" w:lineRule="auto" w:after="40"/>
            </w:pPr>
            <w:r>
              <w:rPr>
                <w:rFonts w:ascii="Times New Roman" w:hAnsi="Times New Roman"/>
                <w:b/>
                <w:sz w:val="20"/>
              </w:rPr>
              <w:t>How it was validated</w:t>
            </w:r>
          </w:p>
        </w:tc>
        <w:tc>
          <w:tcPr>
            <w:tcW w:type="dxa" w:w="2340"/>
          </w:tcPr>
          <w:p>
            <w:pPr>
              <w:spacing w:line="240" w:lineRule="auto" w:after="40"/>
            </w:pPr>
            <w:r>
              <w:rPr>
                <w:rFonts w:ascii="Times New Roman" w:hAnsi="Times New Roman"/>
                <w:b/>
                <w:sz w:val="20"/>
              </w:rPr>
              <w:t>Outcome</w:t>
            </w:r>
          </w:p>
        </w:tc>
      </w:tr>
      <w:tr>
        <w:tc>
          <w:tcPr>
            <w:tcW w:type="dxa" w:w="2340"/>
          </w:tcPr>
          <w:p>
            <w:pPr>
              <w:spacing w:line="240" w:lineRule="auto" w:after="40"/>
            </w:pPr>
            <w:r>
              <w:rPr>
                <w:rFonts w:ascii="Times New Roman" w:hAnsi="Times New Roman"/>
                <w:b w:val="0"/>
                <w:sz w:val="20"/>
              </w:rPr>
              <w:t>Source identification</w:t>
            </w:r>
          </w:p>
        </w:tc>
        <w:tc>
          <w:tcPr>
            <w:tcW w:type="dxa" w:w="2340"/>
          </w:tcPr>
          <w:p>
            <w:pPr>
              <w:spacing w:line="240" w:lineRule="auto" w:after="40"/>
            </w:pPr>
            <w:r>
              <w:rPr>
                <w:rFonts w:ascii="Times New Roman" w:hAnsi="Times New Roman"/>
                <w:b w:val="0"/>
                <w:sz w:val="20"/>
              </w:rPr>
              <w:t>Candidate authorities and dataset codes</w:t>
            </w:r>
          </w:p>
        </w:tc>
        <w:tc>
          <w:tcPr>
            <w:tcW w:type="dxa" w:w="2340"/>
          </w:tcPr>
          <w:p>
            <w:pPr>
              <w:spacing w:line="240" w:lineRule="auto" w:after="40"/>
            </w:pPr>
            <w:r>
              <w:rPr>
                <w:rFonts w:ascii="Times New Roman" w:hAnsi="Times New Roman"/>
                <w:b w:val="0"/>
                <w:sz w:val="20"/>
              </w:rPr>
              <w:t>Each source opened or search-verified against the issuing authority</w:t>
            </w:r>
          </w:p>
        </w:tc>
        <w:tc>
          <w:tcPr>
            <w:tcW w:type="dxa" w:w="2340"/>
          </w:tcPr>
          <w:p>
            <w:pPr>
              <w:spacing w:line="240" w:lineRule="auto" w:after="40"/>
            </w:pPr>
            <w:r>
              <w:rPr>
                <w:rFonts w:ascii="Times New Roman" w:hAnsi="Times New Roman"/>
                <w:b w:val="0"/>
                <w:sz w:val="20"/>
              </w:rPr>
              <w:t>Register of 23 sources in `03_SOURCES`</w:t>
            </w:r>
          </w:p>
        </w:tc>
      </w:tr>
      <w:tr>
        <w:tc>
          <w:tcPr>
            <w:tcW w:type="dxa" w:w="2340"/>
          </w:tcPr>
          <w:p>
            <w:pPr>
              <w:spacing w:line="240" w:lineRule="auto" w:after="40"/>
            </w:pPr>
            <w:r>
              <w:rPr>
                <w:rFonts w:ascii="Times New Roman" w:hAnsi="Times New Roman"/>
                <w:b w:val="0"/>
                <w:sz w:val="20"/>
              </w:rPr>
              <w:t>Value retrieval</w:t>
            </w:r>
          </w:p>
        </w:tc>
        <w:tc>
          <w:tcPr>
            <w:tcW w:type="dxa" w:w="2340"/>
          </w:tcPr>
          <w:p>
            <w:pPr>
              <w:spacing w:line="240" w:lineRule="auto" w:after="40"/>
            </w:pPr>
            <w:r>
              <w:rPr>
                <w:rFonts w:ascii="Times New Roman" w:hAnsi="Times New Roman"/>
                <w:b w:val="0"/>
                <w:sz w:val="20"/>
              </w:rPr>
              <w:t>Search for published values by indicator</w:t>
            </w:r>
          </w:p>
        </w:tc>
        <w:tc>
          <w:tcPr>
            <w:tcW w:type="dxa" w:w="2340"/>
          </w:tcPr>
          <w:p>
            <w:pPr>
              <w:spacing w:line="240" w:lineRule="auto" w:after="40"/>
            </w:pPr>
            <w:r>
              <w:rPr>
                <w:rFonts w:ascii="Times New Roman" w:hAnsi="Times New Roman"/>
                <w:b w:val="0"/>
                <w:sz w:val="20"/>
              </w:rPr>
              <w:t>Each value checked against the issuing authority's own publication</w:t>
            </w:r>
          </w:p>
        </w:tc>
        <w:tc>
          <w:tcPr>
            <w:tcW w:type="dxa" w:w="2340"/>
          </w:tcPr>
          <w:p>
            <w:pPr>
              <w:spacing w:line="240" w:lineRule="auto" w:after="40"/>
            </w:pPr>
            <w:r>
              <w:rPr>
                <w:rFonts w:ascii="Times New Roman" w:hAnsi="Times New Roman"/>
                <w:b w:val="0"/>
                <w:sz w:val="20"/>
              </w:rPr>
              <w:t>Every observation carries a `source_id`</w:t>
            </w:r>
          </w:p>
        </w:tc>
      </w:tr>
      <w:tr>
        <w:tc>
          <w:tcPr>
            <w:tcW w:type="dxa" w:w="2340"/>
          </w:tcPr>
          <w:p>
            <w:pPr>
              <w:spacing w:line="240" w:lineRule="auto" w:after="40"/>
            </w:pPr>
            <w:r>
              <w:rPr>
                <w:rFonts w:ascii="Times New Roman" w:hAnsi="Times New Roman"/>
                <w:b w:val="0"/>
                <w:sz w:val="20"/>
              </w:rPr>
              <w:t>Workbook construction</w:t>
            </w:r>
          </w:p>
        </w:tc>
        <w:tc>
          <w:tcPr>
            <w:tcW w:type="dxa" w:w="2340"/>
          </w:tcPr>
          <w:p>
            <w:pPr>
              <w:spacing w:line="240" w:lineRule="auto" w:after="40"/>
            </w:pPr>
            <w:r>
              <w:rPr>
                <w:rFonts w:ascii="Times New Roman" w:hAnsi="Times New Roman"/>
                <w:b w:val="0"/>
                <w:sz w:val="20"/>
              </w:rPr>
              <w:t>The Python build script</w:t>
            </w:r>
          </w:p>
        </w:tc>
        <w:tc>
          <w:tcPr>
            <w:tcW w:type="dxa" w:w="2340"/>
          </w:tcPr>
          <w:p>
            <w:pPr>
              <w:spacing w:line="240" w:lineRule="auto" w:after="40"/>
            </w:pPr>
            <w:r>
              <w:rPr>
                <w:rFonts w:ascii="Times New Roman" w:hAnsi="Times New Roman"/>
                <w:b w:val="0"/>
                <w:sz w:val="20"/>
              </w:rPr>
              <w:t>Structural assertions at build time; a separate 1,782-check suite</w:t>
            </w:r>
          </w:p>
        </w:tc>
        <w:tc>
          <w:tcPr>
            <w:tcW w:type="dxa" w:w="2340"/>
          </w:tcPr>
          <w:p>
            <w:pPr>
              <w:spacing w:line="240" w:lineRule="auto" w:after="40"/>
            </w:pPr>
            <w:r>
              <w:rPr>
                <w:rFonts w:ascii="Times New Roman" w:hAnsi="Times New Roman"/>
                <w:b w:val="0"/>
                <w:sz w:val="20"/>
              </w:rPr>
              <w:t>`build_workbook.py`, re-runnable</w:t>
            </w:r>
          </w:p>
        </w:tc>
      </w:tr>
      <w:tr>
        <w:tc>
          <w:tcPr>
            <w:tcW w:type="dxa" w:w="2340"/>
          </w:tcPr>
          <w:p>
            <w:pPr>
              <w:spacing w:line="240" w:lineRule="auto" w:after="40"/>
            </w:pPr>
            <w:r>
              <w:rPr>
                <w:rFonts w:ascii="Times New Roman" w:hAnsi="Times New Roman"/>
                <w:b w:val="0"/>
                <w:sz w:val="20"/>
              </w:rPr>
              <w:t>Figure production</w:t>
            </w:r>
          </w:p>
        </w:tc>
        <w:tc>
          <w:tcPr>
            <w:tcW w:type="dxa" w:w="2340"/>
          </w:tcPr>
          <w:p>
            <w:pPr>
              <w:spacing w:line="240" w:lineRule="auto" w:after="40"/>
            </w:pPr>
            <w:r>
              <w:rPr>
                <w:rFonts w:ascii="Times New Roman" w:hAnsi="Times New Roman"/>
                <w:b w:val="0"/>
                <w:sz w:val="20"/>
              </w:rPr>
              <w:t>The matplotlib figure script</w:t>
            </w:r>
          </w:p>
        </w:tc>
        <w:tc>
          <w:tcPr>
            <w:tcW w:type="dxa" w:w="2340"/>
          </w:tcPr>
          <w:p>
            <w:pPr>
              <w:spacing w:line="240" w:lineRule="auto" w:after="40"/>
            </w:pPr>
            <w:r>
              <w:rPr>
                <w:rFonts w:ascii="Times New Roman" w:hAnsi="Times New Roman"/>
                <w:b w:val="0"/>
                <w:sz w:val="20"/>
              </w:rPr>
              <w:t>Nine derived values re-computed and asserted against the report prose</w:t>
            </w:r>
          </w:p>
        </w:tc>
        <w:tc>
          <w:tcPr>
            <w:tcW w:type="dxa" w:w="2340"/>
          </w:tcPr>
          <w:p>
            <w:pPr>
              <w:spacing w:line="240" w:lineRule="auto" w:after="40"/>
            </w:pPr>
            <w:r>
              <w:rPr>
                <w:rFonts w:ascii="Times New Roman" w:hAnsi="Times New Roman"/>
                <w:b w:val="0"/>
                <w:sz w:val="20"/>
              </w:rPr>
              <w:t>`build_figures.py`</w:t>
            </w:r>
          </w:p>
        </w:tc>
      </w:tr>
      <w:tr>
        <w:tc>
          <w:tcPr>
            <w:tcW w:type="dxa" w:w="2340"/>
          </w:tcPr>
          <w:p>
            <w:pPr>
              <w:spacing w:line="240" w:lineRule="auto" w:after="40"/>
            </w:pPr>
            <w:r>
              <w:rPr>
                <w:rFonts w:ascii="Times New Roman" w:hAnsi="Times New Roman"/>
                <w:b w:val="0"/>
                <w:sz w:val="20"/>
              </w:rPr>
              <w:t>Report drafting</w:t>
            </w:r>
          </w:p>
        </w:tc>
        <w:tc>
          <w:tcPr>
            <w:tcW w:type="dxa" w:w="2340"/>
          </w:tcPr>
          <w:p>
            <w:pPr>
              <w:spacing w:line="240" w:lineRule="auto" w:after="40"/>
            </w:pPr>
            <w:r>
              <w:rPr>
                <w:rFonts w:ascii="Times New Roman" w:hAnsi="Times New Roman"/>
                <w:b w:val="0"/>
                <w:sz w:val="20"/>
              </w:rPr>
              <w:t>Prose drafting and structuring</w:t>
            </w:r>
          </w:p>
        </w:tc>
        <w:tc>
          <w:tcPr>
            <w:tcW w:type="dxa" w:w="2340"/>
          </w:tcPr>
          <w:p>
            <w:pPr>
              <w:spacing w:line="240" w:lineRule="auto" w:after="40"/>
            </w:pPr>
            <w:r>
              <w:rPr>
                <w:rFonts w:ascii="Times New Roman" w:hAnsi="Times New Roman"/>
                <w:b w:val="0"/>
                <w:sz w:val="20"/>
              </w:rPr>
              <w:t>Every number traced to `02_MASTER`; arithmetic re-derived independently</w:t>
            </w:r>
          </w:p>
        </w:tc>
        <w:tc>
          <w:tcPr>
            <w:tcW w:type="dxa" w:w="2340"/>
          </w:tcPr>
          <w:p>
            <w:pPr>
              <w:spacing w:line="240" w:lineRule="auto" w:after="40"/>
            </w:pPr>
            <w:r>
              <w:rPr>
                <w:rFonts w:ascii="Times New Roman" w:hAnsi="Times New Roman"/>
                <w:b w:val="0"/>
                <w:sz w:val="20"/>
              </w:rPr>
              <w:t>The report body</w:t>
            </w:r>
          </w:p>
        </w:tc>
      </w:tr>
      <w:tr>
        <w:tc>
          <w:tcPr>
            <w:tcW w:type="dxa" w:w="2340"/>
          </w:tcPr>
          <w:p>
            <w:pPr>
              <w:spacing w:line="240" w:lineRule="auto" w:after="40"/>
            </w:pPr>
            <w:r>
              <w:rPr>
                <w:rFonts w:ascii="Times New Roman" w:hAnsi="Times New Roman"/>
                <w:b w:val="0"/>
                <w:sz w:val="20"/>
              </w:rPr>
              <w:t>Self-audit</w:t>
            </w:r>
          </w:p>
        </w:tc>
        <w:tc>
          <w:tcPr>
            <w:tcW w:type="dxa" w:w="2340"/>
          </w:tcPr>
          <w:p>
            <w:pPr>
              <w:spacing w:line="240" w:lineRule="auto" w:after="40"/>
            </w:pPr>
            <w:r>
              <w:rPr>
                <w:rFonts w:ascii="Times New Roman" w:hAnsi="Times New Roman"/>
                <w:b w:val="0"/>
                <w:sz w:val="20"/>
              </w:rPr>
              <w:t>Adversarial review of the workbook and the draft</w:t>
            </w:r>
          </w:p>
        </w:tc>
        <w:tc>
          <w:tcPr>
            <w:tcW w:type="dxa" w:w="2340"/>
          </w:tcPr>
          <w:p>
            <w:pPr>
              <w:spacing w:line="240" w:lineRule="auto" w:after="40"/>
            </w:pPr>
            <w:r>
              <w:rPr>
                <w:rFonts w:ascii="Times New Roman" w:hAnsi="Times New Roman"/>
                <w:b w:val="0"/>
                <w:sz w:val="20"/>
              </w:rPr>
              <w:t>Findings checked against raw file contents before acceptance</w:t>
            </w:r>
          </w:p>
        </w:tc>
        <w:tc>
          <w:tcPr>
            <w:tcW w:type="dxa" w:w="2340"/>
          </w:tcPr>
          <w:p>
            <w:pPr>
              <w:spacing w:line="240" w:lineRule="auto" w:after="40"/>
            </w:pPr>
            <w:r>
              <w:rPr>
                <w:rFonts w:ascii="Times New Roman" w:hAnsi="Times New Roman"/>
                <w:b w:val="0"/>
                <w:sz w:val="20"/>
              </w:rPr>
              <w:t>Eleven defects fixed; see A.4</w:t>
            </w:r>
          </w:p>
        </w:tc>
      </w:tr>
      <w:tr>
        <w:tc>
          <w:tcPr>
            <w:tcW w:type="dxa" w:w="2340"/>
          </w:tcPr>
          <w:p>
            <w:pPr>
              <w:spacing w:line="240" w:lineRule="auto" w:after="40"/>
            </w:pPr>
            <w:r>
              <w:rPr>
                <w:rFonts w:ascii="Times New Roman" w:hAnsi="Times New Roman"/>
                <w:b w:val="0"/>
                <w:sz w:val="20"/>
              </w:rPr>
              <w:t>Analytical framing</w:t>
            </w:r>
          </w:p>
        </w:tc>
        <w:tc>
          <w:tcPr>
            <w:tcW w:type="dxa" w:w="2340"/>
          </w:tcPr>
          <w:p>
            <w:pPr>
              <w:spacing w:line="240" w:lineRule="auto" w:after="40"/>
            </w:pPr>
            <w:r>
              <w:rPr>
                <w:rFonts w:ascii="Times New Roman" w:hAnsi="Times New Roman"/>
                <w:b w:val="0"/>
                <w:sz w:val="20"/>
              </w:rPr>
              <w:t>Interpretation and framing suggestions</w:t>
            </w:r>
          </w:p>
        </w:tc>
        <w:tc>
          <w:tcPr>
            <w:tcW w:type="dxa" w:w="2340"/>
          </w:tcPr>
          <w:p>
            <w:pPr>
              <w:spacing w:line="240" w:lineRule="auto" w:after="40"/>
            </w:pPr>
            <w:r>
              <w:rPr>
                <w:rFonts w:ascii="Times New Roman" w:hAnsi="Times New Roman"/>
                <w:b w:val="0"/>
                <w:sz w:val="20"/>
              </w:rPr>
              <w:t>Author reviewed each against the underlying values</w:t>
            </w:r>
          </w:p>
        </w:tc>
        <w:tc>
          <w:tcPr>
            <w:tcW w:type="dxa" w:w="2340"/>
          </w:tcPr>
          <w:p>
            <w:pPr>
              <w:spacing w:line="240" w:lineRule="auto" w:after="40"/>
            </w:pPr>
            <w:r>
              <w:rPr>
                <w:rFonts w:ascii="Times New Roman" w:hAnsi="Times New Roman"/>
                <w:b w:val="0"/>
                <w:sz w:val="20"/>
              </w:rPr>
              <w:t>Interpretations are the author's</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A.3 What "validated" means here</w:t>
      </w:r>
    </w:p>
    <w:p>
      <w:pPr>
        <w:spacing w:before="0" w:after="120"/>
        <w:jc w:val="both"/>
      </w:pPr>
      <w:r>
        <w:rPr>
          <w:rFonts w:ascii="Times New Roman" w:hAnsi="Times New Roman"/>
          <w:b w:val="0"/>
          <w:i w:val="0"/>
          <w:sz w:val="24"/>
        </w:rPr>
        <w:t>The word is used operationally, not as reassurance. Four rules were enforced:</w:t>
      </w:r>
    </w:p>
    <w:p>
      <w:pPr>
        <w:pStyle w:val="ListBullet"/>
        <w:spacing w:after="60"/>
      </w:pPr>
      <w:r>
        <w:rPr>
          <w:rFonts w:ascii="Times New Roman" w:hAnsi="Times New Roman"/>
          <w:sz w:val="24"/>
        </w:rPr>
        <w:t>Every retained observation resolves to a named issuing authority in</w:t>
      </w:r>
    </w:p>
    <w:p>
      <w:pPr>
        <w:pStyle w:val="ListBullet"/>
        <w:spacing w:after="60"/>
      </w:pPr>
      <w:r>
        <w:rPr>
          <w:rFonts w:ascii="Times New Roman" w:hAnsi="Times New Roman"/>
          <w:sz w:val="24"/>
        </w:rPr>
        <w:t>No value appears in the report that is not in `02_MASTER`. No figure sheet in</w:t>
      </w:r>
    </w:p>
    <w:p>
      <w:pPr>
        <w:pStyle w:val="ListBullet"/>
        <w:spacing w:after="60"/>
      </w:pPr>
      <w:r>
        <w:rPr>
          <w:rFonts w:ascii="Times New Roman" w:hAnsi="Times New Roman"/>
          <w:sz w:val="24"/>
        </w:rPr>
        <w:t>Structural claims are enforced by executable assertions, not by reading. The</w:t>
      </w:r>
    </w:p>
    <w:p>
      <w:pPr>
        <w:pStyle w:val="ListBullet"/>
        <w:spacing w:after="60"/>
      </w:pPr>
      <w:r>
        <w:rPr>
          <w:rFonts w:ascii="Times New Roman" w:hAnsi="Times New Roman"/>
          <w:sz w:val="24"/>
        </w:rPr>
        <w:t>Where a value could not be verified against its issuing authority, it was</w:t>
      </w:r>
    </w:p>
    <w:p>
      <w:pPr>
        <w:spacing w:before="160" w:after="80"/>
        <w:jc w:val="left"/>
      </w:pPr>
      <w:r>
        <w:rPr>
          <w:rFonts w:ascii="Times New Roman" w:hAnsi="Times New Roman"/>
          <w:b/>
          <w:i w:val="0"/>
          <w:sz w:val="24"/>
        </w:rPr>
        <w:t>A.4 Four errors AI assistance introduced, and how each was caught</w:t>
      </w:r>
    </w:p>
    <w:p>
      <w:pPr>
        <w:spacing w:before="0" w:after="120"/>
        <w:jc w:val="both"/>
      </w:pPr>
      <w:r>
        <w:rPr>
          <w:rFonts w:ascii="Times New Roman" w:hAnsi="Times New Roman"/>
          <w:b w:val="0"/>
          <w:i w:val="0"/>
          <w:sz w:val="24"/>
        </w:rPr>
        <w:t>**A fabricated dataset.** An early candidate dataset produced with AI assistance carried real Eurostat dataset codes and plausible extraction dates. Cross-checking its country values against Eurostat's published ranking showed the ordering was inverted — the values were not merely wrong but fabricated around correct-looking metadata. The dataset was rejected in full, not repaired. This is the most dangerous failure mode encountered, because the metadata was more convincing than the numbers.</w:t>
      </w:r>
    </w:p>
    <w:p>
      <w:pPr>
        <w:spacing w:before="0" w:after="120"/>
        <w:jc w:val="both"/>
      </w:pPr>
      <w:r>
        <w:rPr>
          <w:rFonts w:ascii="Times New Roman" w:hAnsi="Times New Roman"/>
          <w:b w:val="0"/>
          <w:i w:val="0"/>
          <w:sz w:val="24"/>
        </w:rPr>
        <w:t>**A withdrawn policy claim.** An AI-assisted draft asserted that the SMV:Digital grant scheme was being defunded, and built an argument on it. A search for the scheme's funding status found its own 2026 grant-pool page documenting pools still open, with a further pool opening on 26 October 2026 (SMV:Digital 2026). The claim was withdrawn from both the dataset and the argument. The withdrawal is recorded in `09_POLICY` and `07_LIMITATIONS` rather than deleted.</w:t>
      </w:r>
    </w:p>
    <w:p>
      <w:pPr>
        <w:spacing w:before="0" w:after="120"/>
        <w:jc w:val="both"/>
      </w:pPr>
      <w:r>
        <w:rPr>
          <w:rFonts w:ascii="Times New Roman" w:hAnsi="Times New Roman"/>
          <w:b w:val="0"/>
          <w:i w:val="0"/>
          <w:sz w:val="24"/>
        </w:rPr>
        <w:t>**An overclaim about Denmark.** A drafting plan asserted that Denmark "converts consumer adoption into enterprise e-commerce better than the EU pattern predicts." Computing the residual distribution refuted it: Denmark's residual is +0.97 residual standard errors and ranks fourth of eighteen, with Belgium, Ireland and Italy all further above the line (Appendix C). The claim was cut, and the workbook now computes the standardised residual as a live cell so the overclaim cannot quietly return.</w:t>
      </w:r>
    </w:p>
    <w:p>
      <w:pPr>
        <w:spacing w:before="0" w:after="120"/>
        <w:jc w:val="both"/>
      </w:pPr>
      <w:r>
        <w:rPr>
          <w:rFonts w:ascii="Times New Roman" w:hAnsi="Times New Roman"/>
          <w:b w:val="0"/>
          <w:i w:val="0"/>
          <w:sz w:val="24"/>
        </w:rPr>
        <w:t>**A criticism that was already answered.** A late draft of Section 6 asserted that the SMV:Digital scheme was "self-reported and uncontrolled: it measures participation, not effect." The first half was correct. The second was false: a search for the scheme's evaluation found a register-based effect measurement in which Digitaliseringsstyrelsen links recipients to Danmarks Statistik records and compares them with matched control firms (Digitaliseringsstyrelsen 2025b). The report was criticising an absence that does not exist. The same search established that Act 603 of 2023 (Folketinget 2023) had already granted the entitlement a second recommendation proposed, and that a supreme audit institution had rejected the allocation mechanism Appendix F specified (Bundesrechnungshof 2022). All three were rewritten on the verified position, which in each case produced a sharper argument than the one it replaced. The lesson is that an unverified criticism is as much a fabrication risk as an unverified number, and harder to notice, because a critical claim reads as caution rather than as a factual assertion requiring a source.</w:t>
      </w:r>
    </w:p>
    <w:p>
      <w:pPr>
        <w:spacing w:before="0" w:after="120"/>
        <w:jc w:val="both"/>
      </w:pPr>
      <w:r>
        <w:rPr>
          <w:rFonts w:ascii="Times New Roman" w:hAnsi="Times New Roman"/>
          <w:b w:val="0"/>
          <w:i w:val="0"/>
          <w:sz w:val="24"/>
        </w:rPr>
        <w:t>A fifth class is worth recording because it is the opposite failure. During self-audit, the audit tooling raised four alarms — an under-cited figure, an off-palette chart, scatters with no y-values, and a mis-sized figure — all four of which were false, caused by the tooling's own regexes not handling XML namespaces and object types. They were cleared against the raw file contents. An AI-generated check is itself an AI artefact and needs the same scepticism as an AI-generated number.</w:t>
      </w:r>
    </w:p>
    <w:p>
      <w:pPr>
        <w:spacing w:before="160" w:after="80"/>
        <w:jc w:val="left"/>
      </w:pPr>
      <w:r>
        <w:rPr>
          <w:rFonts w:ascii="Times New Roman" w:hAnsi="Times New Roman"/>
          <w:b/>
          <w:i w:val="0"/>
          <w:sz w:val="24"/>
        </w:rPr>
        <w:t>A.5 What was not delegated</w:t>
      </w:r>
    </w:p>
    <w:p>
      <w:pPr>
        <w:spacing w:before="0" w:after="120"/>
        <w:jc w:val="both"/>
      </w:pPr>
      <w:r>
        <w:rPr>
          <w:rFonts w:ascii="Times New Roman" w:hAnsi="Times New Roman"/>
          <w:b w:val="0"/>
          <w:i w:val="0"/>
          <w:sz w:val="24"/>
        </w:rPr>
        <w:t>The research question, the country, the policy instrument, the SDG selection, the argument and its thesis, and the judgement about which findings are defensible. Where the evidence and a preferred conclusion disagreed, the evidence was followed — four times, as recorded above.</w:t>
      </w:r>
    </w:p>
    <w:p>
      <w:pPr>
        <w:spacing w:before="160" w:after="80"/>
        <w:jc w:val="left"/>
      </w:pPr>
      <w:r>
        <w:rPr>
          <w:rFonts w:ascii="Times New Roman" w:hAnsi="Times New Roman"/>
          <w:b/>
          <w:i w:val="0"/>
          <w:sz w:val="24"/>
        </w:rPr>
        <w:t>A.6 Residual risk</w:t>
      </w:r>
    </w:p>
    <w:p>
      <w:pPr>
        <w:spacing w:before="0" w:after="120"/>
        <w:jc w:val="both"/>
      </w:pPr>
      <w:r>
        <w:rPr>
          <w:rFonts w:ascii="Times New Roman" w:hAnsi="Times New Roman"/>
          <w:b w:val="0"/>
          <w:i w:val="0"/>
          <w:sz w:val="24"/>
        </w:rPr>
        <w:t>Direct access to statistical portals was blocked in the build environment, so most values were verified against search results reporting the issuing authority's publication rather than by opening the authority's database directly. The exception is the Eurostat `isoc_ec_ib20` extract, which the author retrieved from the databrowser and supplied with its own provenance header (Eurostat 2026a). Sixteen country-level turnover values are flagged `u` in `02_MASTER` for this reason and should be spot-checked before the workbook is reused. No sampling error is reported anywhere in the dataset, because the sources do not publish standard errors alongside these estimates; survey-based figures should be read as point estimates carrying unquantified uncertainty.</w:t>
      </w:r>
    </w:p>
    <w:p>
      <w:r>
        <w:br w:type="page"/>
      </w:r>
    </w:p>
    <w:p>
      <w:pPr>
        <w:spacing w:before="0" w:after="160"/>
        <w:jc w:val="left"/>
      </w:pPr>
      <w:r>
        <w:rPr>
          <w:rFonts w:ascii="Times New Roman" w:hAnsi="Times New Roman"/>
          <w:b/>
          <w:i w:val="0"/>
          <w:sz w:val="26"/>
        </w:rPr>
        <w:t>Appendix B. Data, Provenance and Verification</w:t>
      </w:r>
    </w:p>
    <w:p>
      <w:pPr>
        <w:spacing w:before="160" w:after="80"/>
        <w:jc w:val="left"/>
      </w:pPr>
      <w:r>
        <w:rPr>
          <w:rFonts w:ascii="Times New Roman" w:hAnsi="Times New Roman"/>
          <w:b/>
          <w:i w:val="0"/>
          <w:sz w:val="24"/>
        </w:rPr>
        <w:t>B.1 How a number in this report can be traced</w:t>
      </w:r>
    </w:p>
    <w:p>
      <w:pPr>
        <w:spacing w:before="0" w:after="120"/>
        <w:jc w:val="both"/>
      </w:pPr>
      <w:r>
        <w:rPr>
          <w:rFonts w:ascii="Times New Roman" w:hAnsi="Times New Roman"/>
          <w:b w:val="0"/>
          <w:i w:val="0"/>
          <w:sz w:val="24"/>
        </w:rPr>
        <w:t>Every value in the body traces to a single row of `02_MASTER` in the accompanying workbook, which holds 113 observations in tidy long form. Each row carries a series code, geography, year, value, unit, **denominator**, Eurostat-compatible flag, and a `source_id` resolving to `03_SOURCES`, where each of the 23 sources gives an issuing authority, dataset code, URL, access date and a full Harvard reference.</w:t>
      </w:r>
    </w:p>
    <w:p>
      <w:pPr>
        <w:spacing w:before="0" w:after="120"/>
        <w:jc w:val="both"/>
      </w:pPr>
      <w:r>
        <w:rPr>
          <w:rFonts w:ascii="Times New Roman" w:hAnsi="Times New Roman"/>
          <w:b w:val="0"/>
          <w:i w:val="0"/>
          <w:sz w:val="24"/>
        </w:rPr>
        <w:t>No figure sheet in the workbook contains a typed number. Every figure cell is a formula referencing `02_MASTER`, so changing an observation propagates to the derived sheets and the charts. The same table generates the report's figures, through `report/build_figures.py`. One source of truth, three renderings.</w:t>
      </w:r>
    </w:p>
    <w:p>
      <w:pPr>
        <w:spacing w:before="0" w:after="120"/>
        <w:jc w:val="both"/>
      </w:pPr>
      <w:r>
        <w:rPr>
          <w:rFonts w:ascii="Times New Roman" w:hAnsi="Times New Roman"/>
          <w:b w:val="0"/>
          <w:i w:val="0"/>
          <w:sz w:val="24"/>
        </w:rPr>
        <w:t>The `denominator` column is load-bearing rather than decorative. Danish online-purchasing figures change base between 2019 (% of individuals) and 2020 onward (% of internet users), and the 2019 row is flagged `b` for a break in series. Without that column the two are a single misleading trend line.</w:t>
      </w:r>
    </w:p>
    <w:p>
      <w:pPr>
        <w:spacing w:before="160" w:after="80"/>
        <w:jc w:val="left"/>
      </w:pPr>
      <w:r>
        <w:rPr>
          <w:rFonts w:ascii="Times New Roman" w:hAnsi="Times New Roman"/>
          <w:b/>
          <w:i w:val="0"/>
          <w:sz w:val="24"/>
        </w:rPr>
        <w:t>B.2 Verification</w:t>
      </w:r>
    </w:p>
    <w:p>
      <w:pPr>
        <w:spacing w:before="0" w:after="120"/>
        <w:jc w:val="both"/>
      </w:pPr>
      <w:r>
        <w:rPr>
          <w:rFonts w:ascii="Times New Roman" w:hAnsi="Times New Roman"/>
          <w:b w:val="0"/>
          <w:i w:val="0"/>
          <w:sz w:val="24"/>
        </w:rPr>
        <w:t>The workbook is generated by a script and checked by a second, independent one: **1,610 automated assertions** that fail the build if violated. They include:</w:t>
      </w:r>
    </w:p>
    <w:p>
      <w:pPr>
        <w:pStyle w:val="ListBullet"/>
        <w:spacing w:after="60"/>
      </w:pPr>
      <w:r>
        <w:rPr>
          <w:rFonts w:ascii="Times New Roman" w:hAnsi="Times New Roman"/>
          <w:sz w:val="24"/>
        </w:rPr>
        <w:t>every `source_id` resolves to a source carrying a URL and an access date;</w:t>
      </w:r>
    </w:p>
    <w:p>
      <w:pPr>
        <w:pStyle w:val="ListBullet"/>
        <w:spacing w:after="60"/>
      </w:pPr>
      <w:r>
        <w:rPr>
          <w:rFonts w:ascii="Times New Roman" w:hAnsi="Times New Roman"/>
          <w:sz w:val="24"/>
        </w:rPr>
        <w:t>every observation has a unit and a denominator;</w:t>
      </w:r>
    </w:p>
    <w:p>
      <w:pPr>
        <w:pStyle w:val="ListBullet"/>
        <w:spacing w:after="60"/>
      </w:pPr>
      <w:r>
        <w:rPr>
          <w:rFonts w:ascii="Times New Roman" w:hAnsi="Times New Roman"/>
          <w:sz w:val="24"/>
        </w:rPr>
        <w:t>no duplicate `(series_code, geography, year)` key — SUMIFS lookups would</w:t>
      </w:r>
    </w:p>
    <w:p>
      <w:pPr>
        <w:pStyle w:val="ListBullet"/>
        <w:spacing w:after="60"/>
      </w:pPr>
      <w:r>
        <w:rPr>
          <w:rFonts w:ascii="Times New Roman" w:hAnsi="Times New Roman"/>
          <w:sz w:val="24"/>
        </w:rPr>
        <w:t>no figure sheet contains a literal in a data column;</w:t>
      </w:r>
    </w:p>
    <w:p>
      <w:pPr>
        <w:pStyle w:val="ListBullet"/>
        <w:spacing w:after="60"/>
      </w:pPr>
      <w:r>
        <w:rPr>
          <w:rFonts w:ascii="Times New Roman" w:hAnsi="Times New Roman"/>
          <w:sz w:val="24"/>
        </w:rPr>
        <w:t>every lookup embedded in a formula resolves to an observation that exists, so</w:t>
      </w:r>
    </w:p>
    <w:p>
      <w:pPr>
        <w:pStyle w:val="ListBullet"/>
        <w:spacing w:after="60"/>
      </w:pPr>
      <w:r>
        <w:rPr>
          <w:rFonts w:ascii="Times New Roman" w:hAnsi="Times New Roman"/>
          <w:sz w:val="24"/>
        </w:rPr>
        <w:t>every chart colour belongs to the declared palette;</w:t>
      </w:r>
    </w:p>
    <w:p>
      <w:pPr>
        <w:pStyle w:val="ListBullet"/>
        <w:spacing w:after="60"/>
      </w:pPr>
      <w:r>
        <w:rPr>
          <w:rFonts w:ascii="Times New Roman" w:hAnsi="Times New Roman"/>
          <w:sz w:val="24"/>
        </w:rPr>
        <w:t>every indicator family appears in `04_DEFINITIONS`.</w:t>
      </w:r>
    </w:p>
    <w:p>
      <w:pPr>
        <w:spacing w:before="0" w:after="120"/>
        <w:jc w:val="both"/>
      </w:pPr>
      <w:r>
        <w:rPr>
          <w:rFonts w:ascii="Times New Roman" w:hAnsi="Times New Roman"/>
          <w:b w:val="0"/>
          <w:i w:val="0"/>
          <w:sz w:val="24"/>
        </w:rPr>
        <w:t>A separate suite of 56 checks verifies the submitted Word file against the formatting requirements, and the figure script re-derives nine published values and asserts they match the report's prose.</w:t>
      </w:r>
    </w:p>
    <w:p>
      <w:pPr>
        <w:spacing w:before="160" w:after="80"/>
        <w:jc w:val="left"/>
      </w:pPr>
      <w:r>
        <w:rPr>
          <w:rFonts w:ascii="Times New Roman" w:hAnsi="Times New Roman"/>
          <w:b/>
          <w:i w:val="0"/>
          <w:sz w:val="24"/>
        </w:rPr>
        <w:t>B.3 Flags used in the workbook</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Flag</w:t>
            </w:r>
          </w:p>
        </w:tc>
        <w:tc>
          <w:tcPr>
            <w:tcW w:type="dxa" w:w="4680"/>
          </w:tcPr>
          <w:p>
            <w:pPr>
              <w:spacing w:line="240" w:lineRule="auto" w:after="40"/>
            </w:pPr>
            <w:r>
              <w:rPr>
                <w:rFonts w:ascii="Times New Roman" w:hAnsi="Times New Roman"/>
                <w:b/>
                <w:sz w:val="20"/>
              </w:rPr>
              <w:t>Meaning</w:t>
            </w:r>
          </w:p>
        </w:tc>
      </w:tr>
      <w:tr>
        <w:tc>
          <w:tcPr>
            <w:tcW w:type="dxa" w:w="4680"/>
          </w:tcPr>
          <w:p>
            <w:pPr>
              <w:spacing w:line="240" w:lineRule="auto" w:after="40"/>
            </w:pPr>
            <w:r>
              <w:rPr>
                <w:rFonts w:ascii="Times New Roman" w:hAnsi="Times New Roman"/>
                <w:b w:val="0"/>
                <w:sz w:val="20"/>
              </w:rPr>
              <w:t>b</w:t>
            </w:r>
          </w:p>
        </w:tc>
        <w:tc>
          <w:tcPr>
            <w:tcW w:type="dxa" w:w="4680"/>
          </w:tcPr>
          <w:p>
            <w:pPr>
              <w:spacing w:line="240" w:lineRule="auto" w:after="40"/>
            </w:pPr>
            <w:r>
              <w:rPr>
                <w:rFonts w:ascii="Times New Roman" w:hAnsi="Times New Roman"/>
                <w:b w:val="0"/>
                <w:sz w:val="20"/>
              </w:rPr>
              <w:t>Break in series</w:t>
            </w:r>
          </w:p>
        </w:tc>
      </w:tr>
      <w:tr>
        <w:tc>
          <w:tcPr>
            <w:tcW w:type="dxa" w:w="4680"/>
          </w:tcPr>
          <w:p>
            <w:pPr>
              <w:spacing w:line="240" w:lineRule="auto" w:after="40"/>
            </w:pPr>
            <w:r>
              <w:rPr>
                <w:rFonts w:ascii="Times New Roman" w:hAnsi="Times New Roman"/>
                <w:b w:val="0"/>
                <w:sz w:val="20"/>
              </w:rPr>
              <w:t>e</w:t>
            </w:r>
          </w:p>
        </w:tc>
        <w:tc>
          <w:tcPr>
            <w:tcW w:type="dxa" w:w="4680"/>
          </w:tcPr>
          <w:p>
            <w:pPr>
              <w:spacing w:line="240" w:lineRule="auto" w:after="40"/>
            </w:pPr>
            <w:r>
              <w:rPr>
                <w:rFonts w:ascii="Times New Roman" w:hAnsi="Times New Roman"/>
                <w:b w:val="0"/>
                <w:sz w:val="20"/>
              </w:rPr>
              <w:t>Estimate, or a value published in words rather than figures</w:t>
            </w:r>
          </w:p>
        </w:tc>
      </w:tr>
      <w:tr>
        <w:tc>
          <w:tcPr>
            <w:tcW w:type="dxa" w:w="4680"/>
          </w:tcPr>
          <w:p>
            <w:pPr>
              <w:spacing w:line="240" w:lineRule="auto" w:after="40"/>
            </w:pPr>
            <w:r>
              <w:rPr>
                <w:rFonts w:ascii="Times New Roman" w:hAnsi="Times New Roman"/>
                <w:b w:val="0"/>
                <w:sz w:val="20"/>
              </w:rPr>
              <w:t>p</w:t>
            </w:r>
          </w:p>
        </w:tc>
        <w:tc>
          <w:tcPr>
            <w:tcW w:type="dxa" w:w="4680"/>
          </w:tcPr>
          <w:p>
            <w:pPr>
              <w:spacing w:line="240" w:lineRule="auto" w:after="40"/>
            </w:pPr>
            <w:r>
              <w:rPr>
                <w:rFonts w:ascii="Times New Roman" w:hAnsi="Times New Roman"/>
                <w:b w:val="0"/>
                <w:sz w:val="20"/>
              </w:rPr>
              <w:t>Provisional</w:t>
            </w:r>
          </w:p>
        </w:tc>
      </w:tr>
      <w:tr>
        <w:tc>
          <w:tcPr>
            <w:tcW w:type="dxa" w:w="4680"/>
          </w:tcPr>
          <w:p>
            <w:pPr>
              <w:spacing w:line="240" w:lineRule="auto" w:after="40"/>
            </w:pPr>
            <w:r>
              <w:rPr>
                <w:rFonts w:ascii="Times New Roman" w:hAnsi="Times New Roman"/>
                <w:b w:val="0"/>
                <w:sz w:val="20"/>
              </w:rPr>
              <w:t>d</w:t>
            </w:r>
          </w:p>
        </w:tc>
        <w:tc>
          <w:tcPr>
            <w:tcW w:type="dxa" w:w="4680"/>
          </w:tcPr>
          <w:p>
            <w:pPr>
              <w:spacing w:line="240" w:lineRule="auto" w:after="40"/>
            </w:pPr>
            <w:r>
              <w:rPr>
                <w:rFonts w:ascii="Times New Roman" w:hAnsi="Times New Roman"/>
                <w:b w:val="0"/>
                <w:sz w:val="20"/>
              </w:rPr>
              <w:t>Definition differs</w:t>
            </w:r>
          </w:p>
        </w:tc>
      </w:tr>
      <w:tr>
        <w:tc>
          <w:tcPr>
            <w:tcW w:type="dxa" w:w="4680"/>
          </w:tcPr>
          <w:p>
            <w:pPr>
              <w:spacing w:line="240" w:lineRule="auto" w:after="40"/>
            </w:pPr>
            <w:r>
              <w:rPr>
                <w:rFonts w:ascii="Times New Roman" w:hAnsi="Times New Roman"/>
                <w:b w:val="0"/>
                <w:sz w:val="20"/>
              </w:rPr>
              <w:t>u</w:t>
            </w:r>
          </w:p>
        </w:tc>
        <w:tc>
          <w:tcPr>
            <w:tcW w:type="dxa" w:w="4680"/>
          </w:tcPr>
          <w:p>
            <w:pPr>
              <w:spacing w:line="240" w:lineRule="auto" w:after="40"/>
            </w:pPr>
            <w:r>
              <w:rPr>
                <w:rFonts w:ascii="Times New Roman" w:hAnsi="Times New Roman"/>
                <w:b w:val="0"/>
                <w:sz w:val="20"/>
              </w:rPr>
              <w:t>Low reliability, or mirror-sourced</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B.4 Policy instruments and dates</w:t>
      </w:r>
    </w:p>
    <w:p>
      <w:pPr>
        <w:spacing w:before="0" w:after="120"/>
        <w:jc w:val="both"/>
      </w:pPr>
      <w:r>
        <w:rPr>
          <w:rFonts w:ascii="Times New Roman" w:hAnsi="Times New Roman"/>
          <w:b w:val="0"/>
          <w:i w:val="0"/>
          <w:sz w:val="24"/>
        </w:rPr>
        <w:t>Table 1 in the body carries only the four instruments the argument turns on. The complete timeline is sheet `09_POLICY`; the events omitted from Table 1 are: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Date</w:t>
            </w:r>
          </w:p>
        </w:tc>
        <w:tc>
          <w:tcPr>
            <w:tcW w:type="dxa" w:w="4680"/>
          </w:tcPr>
          <w:p>
            <w:pPr>
              <w:spacing w:line="240" w:lineRule="auto" w:after="40"/>
            </w:pPr>
            <w:r>
              <w:rPr>
                <w:rFonts w:ascii="Times New Roman" w:hAnsi="Times New Roman"/>
                <w:b/>
                <w:sz w:val="20"/>
              </w:rPr>
              <w:t>Event</w:t>
            </w:r>
          </w:p>
        </w:tc>
      </w:tr>
      <w:tr>
        <w:tc>
          <w:tcPr>
            <w:tcW w:type="dxa" w:w="4680"/>
          </w:tcPr>
          <w:p>
            <w:pPr>
              <w:spacing w:line="240" w:lineRule="auto" w:after="40"/>
            </w:pPr>
            <w:r>
              <w:rPr>
                <w:rFonts w:ascii="Times New Roman" w:hAnsi="Times New Roman"/>
                <w:b w:val="0"/>
                <w:sz w:val="20"/>
              </w:rPr>
              <w:t>2013</w:t>
            </w:r>
          </w:p>
        </w:tc>
        <w:tc>
          <w:tcPr>
            <w:tcW w:type="dxa" w:w="4680"/>
          </w:tcPr>
          <w:p>
            <w:pPr>
              <w:spacing w:line="240" w:lineRule="auto" w:after="40"/>
            </w:pPr>
            <w:r>
              <w:rPr>
                <w:rFonts w:ascii="Times New Roman" w:hAnsi="Times New Roman"/>
                <w:b w:val="0"/>
                <w:sz w:val="20"/>
              </w:rPr>
              <w:t>Digital Post becomes mandatory for businesses, a year ahead of citizens</w:t>
            </w:r>
          </w:p>
        </w:tc>
      </w:tr>
      <w:tr>
        <w:tc>
          <w:tcPr>
            <w:tcW w:type="dxa" w:w="4680"/>
          </w:tcPr>
          <w:p>
            <w:pPr>
              <w:spacing w:line="240" w:lineRule="auto" w:after="40"/>
            </w:pPr>
            <w:r>
              <w:rPr>
                <w:rFonts w:ascii="Times New Roman" w:hAnsi="Times New Roman"/>
                <w:b w:val="0"/>
                <w:sz w:val="20"/>
              </w:rPr>
              <w:t>Jan 2016</w:t>
            </w:r>
          </w:p>
        </w:tc>
        <w:tc>
          <w:tcPr>
            <w:tcW w:type="dxa" w:w="4680"/>
          </w:tcPr>
          <w:p>
            <w:pPr>
              <w:spacing w:line="240" w:lineRule="auto" w:after="40"/>
            </w:pPr>
            <w:r>
              <w:rPr>
                <w:rFonts w:ascii="Times New Roman" w:hAnsi="Times New Roman"/>
                <w:b w:val="0"/>
                <w:sz w:val="20"/>
              </w:rPr>
              <w:t>Rigsrevisionen reports on the Digital Post business case (Rigsrevisionen 2016)</w:t>
            </w:r>
          </w:p>
        </w:tc>
      </w:tr>
      <w:tr>
        <w:tc>
          <w:tcPr>
            <w:tcW w:type="dxa" w:w="4680"/>
          </w:tcPr>
          <w:p>
            <w:pPr>
              <w:spacing w:line="240" w:lineRule="auto" w:after="40"/>
            </w:pPr>
            <w:r>
              <w:rPr>
                <w:rFonts w:ascii="Times New Roman" w:hAnsi="Times New Roman"/>
                <w:b w:val="0"/>
                <w:sz w:val="20"/>
              </w:rPr>
              <w:t>2018</w:t>
            </w:r>
          </w:p>
        </w:tc>
        <w:tc>
          <w:tcPr>
            <w:tcW w:type="dxa" w:w="4680"/>
          </w:tcPr>
          <w:p>
            <w:pPr>
              <w:spacing w:line="240" w:lineRule="auto" w:after="40"/>
            </w:pPr>
            <w:r>
              <w:rPr>
                <w:rFonts w:ascii="Times New Roman" w:hAnsi="Times New Roman"/>
                <w:b w:val="0"/>
                <w:sz w:val="20"/>
              </w:rPr>
              <w:t>SMV:Digital launched</w:t>
            </w:r>
          </w:p>
        </w:tc>
      </w:tr>
      <w:tr>
        <w:tc>
          <w:tcPr>
            <w:tcW w:type="dxa" w:w="4680"/>
          </w:tcPr>
          <w:p>
            <w:pPr>
              <w:spacing w:line="240" w:lineRule="auto" w:after="40"/>
            </w:pPr>
            <w:r>
              <w:rPr>
                <w:rFonts w:ascii="Times New Roman" w:hAnsi="Times New Roman"/>
                <w:b w:val="0"/>
                <w:sz w:val="20"/>
              </w:rPr>
              <w:t>Oct 2021</w:t>
            </w:r>
          </w:p>
        </w:tc>
        <w:tc>
          <w:tcPr>
            <w:tcW w:type="dxa" w:w="4680"/>
          </w:tcPr>
          <w:p>
            <w:pPr>
              <w:spacing w:line="240" w:lineRule="auto" w:after="40"/>
            </w:pPr>
            <w:r>
              <w:rPr>
                <w:rFonts w:ascii="Times New Roman" w:hAnsi="Times New Roman"/>
                <w:b w:val="0"/>
                <w:sz w:val="20"/>
              </w:rPr>
              <w:t>MitID rollout begins</w:t>
            </w:r>
          </w:p>
        </w:tc>
      </w:tr>
      <w:tr>
        <w:tc>
          <w:tcPr>
            <w:tcW w:type="dxa" w:w="4680"/>
          </w:tcPr>
          <w:p>
            <w:pPr>
              <w:spacing w:line="240" w:lineRule="auto" w:after="40"/>
            </w:pPr>
            <w:r>
              <w:rPr>
                <w:rFonts w:ascii="Times New Roman" w:hAnsi="Times New Roman"/>
                <w:b w:val="0"/>
                <w:sz w:val="20"/>
              </w:rPr>
              <w:t>22 Sep 2022</w:t>
            </w:r>
          </w:p>
        </w:tc>
        <w:tc>
          <w:tcPr>
            <w:tcW w:type="dxa" w:w="4680"/>
          </w:tcPr>
          <w:p>
            <w:pPr>
              <w:spacing w:line="240" w:lineRule="auto" w:after="40"/>
            </w:pPr>
            <w:r>
              <w:rPr>
                <w:rFonts w:ascii="Times New Roman" w:hAnsi="Times New Roman"/>
                <w:b w:val="0"/>
                <w:sz w:val="20"/>
              </w:rPr>
              <w:t>MitID required for borger.dk, skat.dk and sundhed.dk</w:t>
            </w:r>
          </w:p>
        </w:tc>
      </w:tr>
      <w:tr>
        <w:tc>
          <w:tcPr>
            <w:tcW w:type="dxa" w:w="4680"/>
          </w:tcPr>
          <w:p>
            <w:pPr>
              <w:spacing w:line="240" w:lineRule="auto" w:after="40"/>
            </w:pPr>
            <w:r>
              <w:rPr>
                <w:rFonts w:ascii="Times New Roman" w:hAnsi="Times New Roman"/>
                <w:b w:val="0"/>
                <w:sz w:val="20"/>
              </w:rPr>
              <w:t>2026</w:t>
            </w:r>
          </w:p>
        </w:tc>
        <w:tc>
          <w:tcPr>
            <w:tcW w:type="dxa" w:w="4680"/>
          </w:tcPr>
          <w:p>
            <w:pPr>
              <w:spacing w:line="240" w:lineRule="auto" w:after="40"/>
            </w:pPr>
            <w:r>
              <w:rPr>
                <w:rFonts w:ascii="Times New Roman" w:hAnsi="Times New Roman"/>
                <w:b w:val="0"/>
                <w:sz w:val="20"/>
              </w:rPr>
              <w:t>SMV:Digital grant pools continue; a further pool opens 26 October (SMV:Digital 2026)</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B.5 Principal limitations</w:t>
      </w:r>
    </w:p>
    <w:p>
      <w:pPr>
        <w:spacing w:before="0" w:after="120"/>
        <w:jc w:val="both"/>
      </w:pPr>
      <w:r>
        <w:rPr>
          <w:rFonts w:ascii="Times New Roman" w:hAnsi="Times New Roman"/>
          <w:b w:val="0"/>
          <w:i w:val="0"/>
          <w:sz w:val="24"/>
        </w:rPr>
        <w:t>The workbook records twenty limitations in `07_LIMITATIONS`. Those that bear directly on claims made in the body:</w:t>
      </w:r>
    </w:p>
    <w:p>
      <w:pPr>
        <w:pStyle w:val="ListBullet"/>
        <w:spacing w:after="60"/>
      </w:pPr>
      <w:r>
        <w:rPr>
          <w:rFonts w:ascii="Times New Roman" w:hAnsi="Times New Roman"/>
          <w:sz w:val="24"/>
        </w:rPr>
        <w:t>**The banking series use different base years.** Institutions and employment</w:t>
      </w:r>
    </w:p>
    <w:p>
      <w:pPr>
        <w:pStyle w:val="ListBullet"/>
        <w:spacing w:after="60"/>
      </w:pPr>
      <w:r>
        <w:rPr>
          <w:rFonts w:ascii="Times New Roman" w:hAnsi="Times New Roman"/>
          <w:sz w:val="24"/>
        </w:rPr>
        <w:t>**No price deflator.** E-sales as a share of turnover spans 2014 to 2024,</w:t>
      </w:r>
    </w:p>
    <w:p>
      <w:pPr>
        <w:pStyle w:val="ListBullet"/>
        <w:spacing w:after="60"/>
      </w:pPr>
      <w:r>
        <w:rPr>
          <w:rFonts w:ascii="Times New Roman" w:hAnsi="Times New Roman"/>
          <w:sz w:val="24"/>
        </w:rPr>
        <w:t>**Headcount conversions rest on an implied denominator.** A published figure</w:t>
      </w:r>
    </w:p>
    <w:p>
      <w:pPr>
        <w:pStyle w:val="ListBullet"/>
        <w:spacing w:after="60"/>
      </w:pPr>
      <w:r>
        <w:rPr>
          <w:rFonts w:ascii="Times New Roman" w:hAnsi="Times New Roman"/>
          <w:sz w:val="24"/>
        </w:rPr>
        <w:t>**Confounded outcome.** Branch closures reflect digitalisation and sectoral</w:t>
      </w:r>
    </w:p>
    <w:p>
      <w:pPr>
        <w:pStyle w:val="ListBullet"/>
        <w:spacing w:after="60"/>
      </w:pPr>
      <w:r>
        <w:rPr>
          <w:rFonts w:ascii="Times New Roman" w:hAnsi="Times New Roman"/>
          <w:sz w:val="24"/>
        </w:rPr>
        <w:t>**Unbalanced panel.** Observation years differ by series because the sources</w:t>
      </w:r>
    </w:p>
    <w:p>
      <w:pPr>
        <w:pStyle w:val="ListBullet"/>
        <w:spacing w:after="60"/>
      </w:pPr>
      <w:r>
        <w:rPr>
          <w:rFonts w:ascii="Times New Roman" w:hAnsi="Times New Roman"/>
          <w:sz w:val="24"/>
        </w:rPr>
        <w:t>**Mirror-sourced values.** Sixteen country-level turnover values are flagged</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2026a)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 a difference of −1.57pp, with a two-sample t of −0.372 on 25 degrees of freedom, p ≈ 0.71. The two groups are statistically indistinguishable on the x-axis. The sample is missing on availability of the outcome measure, not selected on the regressor.</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8" name="Picture 8"/>
            <wp:cNvGraphicFramePr>
              <a:graphicFrameLocks noChangeAspect="1"/>
            </wp:cNvGraphicFramePr>
            <a:graphic>
              <a:graphicData uri="http://schemas.openxmlformats.org/drawingml/2006/picture">
                <pic:pic>
                  <pic:nvPicPr>
                    <pic:cNvPr id="0" name="figA_c1_residuals.png"/>
                    <pic:cNvPicPr/>
                  </pic:nvPicPr>
                  <pic:blipFill>
                    <a:blip r:embed="rId17"/>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9" name="Picture 9"/>
            <wp:cNvGraphicFramePr>
              <a:graphicFrameLocks noChangeAspect="1"/>
            </wp:cNvGraphicFramePr>
            <a:graphic>
              <a:graphicData uri="http://schemas.openxmlformats.org/drawingml/2006/picture">
                <pic:pic>
                  <pic:nvPicPr>
                    <pic:cNvPr id="0" name="figA_c2_jackknife.png"/>
                    <pic:cNvPicPr/>
                  </pic:nvPicPr>
                  <pic:blipFill>
                    <a:blip r:embed="rId18"/>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0" name="Picture 10"/>
            <wp:cNvGraphicFramePr>
              <a:graphicFrameLocks noChangeAspect="1"/>
            </wp:cNvGraphicFramePr>
            <a:graphic>
              <a:graphicData uri="http://schemas.openxmlformats.org/drawingml/2006/picture">
                <pic:pic>
                  <pic:nvPicPr>
                    <pic:cNvPr id="0" name="figA_c3_tailselection.png"/>
                    <pic:cNvPicPr/>
                  </pic:nvPicPr>
                  <pic:blipFill>
                    <a:blip r:embed="rId19"/>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2025d</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82068"/>
            <wp:docPr id="11" name="Picture 11"/>
            <wp:cNvGraphicFramePr>
              <a:graphicFrameLocks noChangeAspect="1"/>
            </wp:cNvGraphicFramePr>
            <a:graphic>
              <a:graphicData uri="http://schemas.openxmlformats.org/drawingml/2006/picture">
                <pic:pic>
                  <pic:nvPicPr>
                    <pic:cNvPr id="0" name="figA_d1_denominators.png"/>
                    <pic:cNvPicPr/>
                  </pic:nvPicPr>
                  <pic:blipFill>
                    <a:blip r:embed="rId20"/>
                    <a:stretch>
                      <a:fillRect/>
                    </a:stretch>
                  </pic:blipFill>
                  <pic:spPr>
                    <a:xfrm>
                      <a:off x="0" y="0"/>
                      <a:ext cx="5760000" cy="3282068"/>
                    </a:xfrm>
                    <a:prstGeom prst="rect"/>
                  </pic:spPr>
                </pic:pic>
              </a:graphicData>
            </a:graphic>
          </wp:inline>
        </w:drawing>
      </w:r>
    </w:p>
    <w:p>
      <w:pPr>
        <w:spacing w:before="0" w:after="200" w:line="240" w:lineRule="auto"/>
        <w:jc w:val="center"/>
      </w:pPr>
      <w:r>
        <w:rPr>
          <w:rFonts w:ascii="Times New Roman" w:hAnsi="Times New Roman"/>
          <w:b w:val="0"/>
          <w:i/>
          <w:sz w:val="20"/>
        </w:rPr>
        <w:t>Figure D1 - The exclusion estimates converted to people on their own bases.</w:t>
      </w:r>
    </w:p>
    <w:p>
      <w:r>
        <w:br w:type="page"/>
      </w:r>
    </w:p>
    <w:p>
      <w:pPr>
        <w:spacing w:before="0" w:after="160"/>
        <w:jc w:val="left"/>
      </w:pPr>
      <w:r>
        <w:rPr>
          <w:rFonts w:ascii="Times New Roman" w:hAnsi="Times New Roman"/>
          <w:b/>
          <w:i w:val="0"/>
          <w:sz w:val="26"/>
        </w:rPr>
        <w:t>Appendix E. Full Cross-Sections and Series</w:t>
      </w:r>
    </w:p>
    <w:p>
      <w:pPr>
        <w:spacing w:before="0" w:after="120"/>
        <w:jc w:val="both"/>
      </w:pPr>
      <w:r>
        <w:rPr>
          <w:rFonts w:ascii="Times New Roman" w:hAnsi="Times New Roman"/>
          <w:b w:val="0"/>
          <w:i w:val="0"/>
          <w:sz w:val="24"/>
        </w:rPr>
        <w:t>Two series are cited in the body as workbook pointers rather than numbered figures, to keep the body inside its word limit. They are reproduced here in full.</w:t>
      </w:r>
    </w:p>
    <w:p>
      <w:pPr>
        <w:spacing w:before="160" w:after="80"/>
        <w:jc w:val="left"/>
      </w:pPr>
      <w:r>
        <w:rPr>
          <w:rFonts w:ascii="Times New Roman" w:hAnsi="Times New Roman"/>
          <w:b/>
          <w:i w:val="0"/>
          <w:sz w:val="24"/>
        </w:rPr>
        <w:t>E.1 Online purchasing across the EU-27, 2024</w:t>
      </w:r>
    </w:p>
    <w:p>
      <w:pPr>
        <w:spacing w:before="0" w:after="120"/>
        <w:jc w:val="both"/>
      </w:pPr>
      <w:r>
        <w:rPr>
          <w:rFonts w:ascii="Times New Roman" w:hAnsi="Times New Roman"/>
          <w:b w:val="0"/>
          <w:i w:val="0"/>
          <w:sz w:val="24"/>
        </w:rPr>
        <w:t>Figure E1</w:t>
      </w:r>
    </w:p>
    <w:p>
      <w:pPr>
        <w:spacing w:before="0" w:after="120"/>
        <w:jc w:val="both"/>
      </w:pPr>
      <w:r>
        <w:rPr>
          <w:rFonts w:ascii="Times New Roman" w:hAnsi="Times New Roman"/>
          <w:b w:val="0"/>
          <w:i w:val="0"/>
          <w:sz w:val="24"/>
        </w:rPr>
        <w:t>Section 3 names three of these twenty-seven by number. The full ranking places Denmark third at 90.86%, behind Ireland (95.79%) and the Netherlands (94.42%) and above Sweden (89.89%), against an EU-27 average of 76.58% (Eurostat 2026a). The measure is the share of **internet users** who made an online purchase in the preceding twelve months, not the share of all individuals — the denominator that changed in 2020 and is flagged in `02_MASTER`.</w:t>
      </w:r>
    </w:p>
    <w:p>
      <w:pPr>
        <w:spacing w:before="0" w:after="120"/>
        <w:jc w:val="both"/>
      </w:pPr>
      <w:r>
        <w:rPr>
          <w:rFonts w:ascii="Times New Roman" w:hAnsi="Times New Roman"/>
          <w:b w:val="0"/>
          <w:i w:val="0"/>
          <w:sz w:val="24"/>
        </w:rPr>
        <w:t>This cross-section is complete: all twenty-seven member states report the adoption measure. It is the outcome measure, e-sales turnover, that is missing for nine of them, which is why the regression in Appendix C rests on eighteen.</w:t>
      </w:r>
    </w:p>
    <w:p>
      <w:pPr>
        <w:spacing w:before="160" w:after="80"/>
        <w:jc w:val="left"/>
      </w:pPr>
      <w:r>
        <w:rPr>
          <w:rFonts w:ascii="Times New Roman" w:hAnsi="Times New Roman"/>
          <w:b/>
          <w:i w:val="0"/>
          <w:sz w:val="24"/>
        </w:rPr>
        <w:t>E.2 Payment instruments in physical retail, 2017–2025</w:t>
      </w:r>
    </w:p>
    <w:p>
      <w:pPr>
        <w:spacing w:before="0" w:after="120"/>
        <w:jc w:val="both"/>
      </w:pPr>
      <w:r>
        <w:rPr>
          <w:rFonts w:ascii="Times New Roman" w:hAnsi="Times New Roman"/>
          <w:b w:val="0"/>
          <w:i w:val="0"/>
          <w:sz w:val="24"/>
        </w:rPr>
        <w:t>Figure E2</w:t>
      </w:r>
    </w:p>
    <w:p>
      <w:pPr>
        <w:spacing w:before="0" w:after="120"/>
        <w:jc w:val="both"/>
      </w:pPr>
      <w:r>
        <w:rPr>
          <w:rFonts w:ascii="Times New Roman" w:hAnsi="Times New Roman"/>
          <w:b w:val="0"/>
          <w:i w:val="0"/>
          <w:sz w:val="24"/>
        </w:rPr>
        <w:t>Cash fell from 23% to 9% of the **number** of payments in physical retail between 2017 and 2025, a fall of 14 percentage points, leaving it at under two-fifths of its 2017 share (Danmarks Nationalbank 2025). Card-based mobile wallets reached 32% of the same measure by 2025.</w:t>
      </w:r>
    </w:p>
    <w:p>
      <w:pPr>
        <w:spacing w:before="0" w:after="120"/>
        <w:jc w:val="both"/>
      </w:pPr>
      <w:r>
        <w:rPr>
          <w:rFonts w:ascii="Times New Roman" w:hAnsi="Times New Roman"/>
          <w:b w:val="0"/>
          <w:i w:val="0"/>
          <w:sz w:val="24"/>
        </w:rPr>
        <w:t>The series is plotted on the number of payments rather than their value, and the two are not interchangeable: by value, digital instruments account for 93% of physical-retail payments against 91% by number. Mobile wallet share is observed only once, in 2025, so it is drawn as a single point rather than a trend.</w:t>
      </w:r>
    </w:p>
    <w:p>
      <w:pPr>
        <w:spacing w:before="0" w:after="120"/>
        <w:jc w:val="both"/>
      </w:pPr>
      <w:r>
        <w:rPr>
          <w:rFonts w:ascii="Times New Roman" w:hAnsi="Times New Roman"/>
          <w:b w:val="0"/>
          <w:i w:val="0"/>
          <w:sz w:val="24"/>
        </w:rPr>
        <w:t>The displacement matters for Section 2's argument. Wallet payments are card payments, and the physical card share fell from 73% to 54% across the same period. Most of what replaced cash at the point of sale was therefore a different way of presenting a card, not a new instrument — which is what one would expect where an identity rail lowers the cost of building a new interface on existing payment infrastructure.</w:t>
      </w:r>
    </w:p>
    <w:p>
      <w:pPr>
        <w:spacing w:before="160" w:after="80"/>
        <w:jc w:val="left"/>
      </w:pPr>
      <w:r>
        <w:rPr>
          <w:rFonts w:ascii="Times New Roman" w:hAnsi="Times New Roman"/>
          <w:b/>
          <w:i w:val="0"/>
          <w:sz w:val="24"/>
        </w:rPr>
        <w:t>E.4 Labour productivity against the EU-27 average</w:t>
      </w:r>
    </w:p>
    <w:p>
      <w:pPr>
        <w:spacing w:before="0" w:after="120"/>
        <w:jc w:val="both"/>
      </w:pPr>
      <w:r>
        <w:rPr>
          <w:rFonts w:ascii="Times New Roman" w:hAnsi="Times New Roman"/>
          <w:b w:val="0"/>
          <w:i w:val="0"/>
          <w:sz w:val="24"/>
        </w:rPr>
        <w:t>Figure E3</w:t>
      </w:r>
    </w:p>
    <w:p>
      <w:pPr>
        <w:spacing w:before="0" w:after="120"/>
        <w:jc w:val="both"/>
      </w:pPr>
      <w:r>
        <w:rPr>
          <w:rFonts w:ascii="Times New Roman" w:hAnsi="Times New Roman"/>
          <w:b w:val="0"/>
          <w:i w:val="0"/>
          <w:sz w:val="24"/>
        </w:rPr>
        <w:t>Every other measure in this report is an adoption measure. This one is an economic outcome: nominal labour productivity per person, indexed so that the EU-27 equals 100 in each year Eurostat 2026b. Denmark stood at 109.2 in 2005, peaked at 121.0 in 2021, and stands at 116.8 in 2025.</w:t>
      </w:r>
    </w:p>
    <w:p>
      <w:pPr>
        <w:spacing w:before="0" w:after="120"/>
        <w:jc w:val="both"/>
      </w:pPr>
      <w:r>
        <w:rPr>
          <w:rFonts w:ascii="Times New Roman" w:hAnsi="Times New Roman"/>
          <w:b w:val="0"/>
          <w:i w:val="0"/>
          <w:sz w:val="24"/>
        </w:rPr>
        <w:t>Three cautions govern how far it can be read. The series is an index on the EU average, so a rise means Denmark gained **relative to its peers** and says nothing about whether Danish productivity grew. It is measured per person rather than per hour, which makes it sensitive to changes in part-time work. And it is nominal, in current prices at purchasing power standards, so price movements are inside it.</w:t>
      </w:r>
    </w:p>
    <w:p>
      <w:pPr>
        <w:spacing w:before="0" w:after="120"/>
        <w:jc w:val="both"/>
      </w:pPr>
      <w:r>
        <w:rPr>
          <w:rFonts w:ascii="Times New Roman" w:hAnsi="Times New Roman"/>
          <w:b w:val="0"/>
          <w:i w:val="0"/>
          <w:sz w:val="24"/>
        </w:rPr>
        <w:t>What it establishes is therefore modest and worth stating plainly: across the period Denmark built its digital infrastructure, its productivity position improved against the EU average and has not returned to where it started. The series is consistent with the report's argument. It does not demonstrate it, and no single-country time series could — the 2021 peak coincides with a pandemic that moved measured productivity everywhere, which is the clearest possible illustration that this series responds to more than digital policy.</w:t>
      </w:r>
    </w:p>
    <w:p>
      <w:pPr>
        <w:spacing w:before="160" w:after="40"/>
        <w:jc w:val="center"/>
      </w:pPr>
      <w:r>
        <w:drawing>
          <wp:inline xmlns:a="http://schemas.openxmlformats.org/drawingml/2006/main" xmlns:pic="http://schemas.openxmlformats.org/drawingml/2006/picture">
            <wp:extent cx="5760000" cy="4697795"/>
            <wp:docPr id="12" name="Picture 12"/>
            <wp:cNvGraphicFramePr>
              <a:graphicFrameLocks noChangeAspect="1"/>
            </wp:cNvGraphicFramePr>
            <a:graphic>
              <a:graphicData uri="http://schemas.openxmlformats.org/drawingml/2006/picture">
                <pic:pic>
                  <pic:nvPicPr>
                    <pic:cNvPr id="0" name="figA_e1_eu27.png"/>
                    <pic:cNvPicPr/>
                  </pic:nvPicPr>
                  <pic:blipFill>
                    <a:blip r:embed="rId21"/>
                    <a:stretch>
                      <a:fillRect/>
                    </a:stretch>
                  </pic:blipFill>
                  <pic:spPr>
                    <a:xfrm>
                      <a:off x="0" y="0"/>
                      <a:ext cx="5760000" cy="4697795"/>
                    </a:xfrm>
                    <a:prstGeom prst="rect"/>
                  </pic:spPr>
                </pic:pic>
              </a:graphicData>
            </a:graphic>
          </wp:inline>
        </w:drawing>
      </w:r>
    </w:p>
    <w:p>
      <w:pPr>
        <w:spacing w:before="0" w:after="200" w:line="240" w:lineRule="auto"/>
        <w:jc w:val="center"/>
      </w:pPr>
      <w:r>
        <w:rPr>
          <w:rFonts w:ascii="Times New Roman" w:hAnsi="Times New Roman"/>
          <w:b w:val="0"/>
          <w:i/>
          <w:sz w:val="20"/>
        </w:rPr>
        <w:t>Figure E1 - Individuals purchasing online, all 27 member states, 2024. Workbook F5_EU27.</w:t>
      </w:r>
    </w:p>
    <w:p>
      <w:pPr>
        <w:spacing w:before="160" w:after="40"/>
        <w:jc w:val="center"/>
      </w:pPr>
      <w:r>
        <w:drawing>
          <wp:inline xmlns:a="http://schemas.openxmlformats.org/drawingml/2006/main" xmlns:pic="http://schemas.openxmlformats.org/drawingml/2006/picture">
            <wp:extent cx="5760000" cy="3413993"/>
            <wp:docPr id="13" name="Picture 13"/>
            <wp:cNvGraphicFramePr>
              <a:graphicFrameLocks noChangeAspect="1"/>
            </wp:cNvGraphicFramePr>
            <a:graphic>
              <a:graphicData uri="http://schemas.openxmlformats.org/drawingml/2006/picture">
                <pic:pic>
                  <pic:nvPicPr>
                    <pic:cNvPr id="0" name="figA_e2_payments.png"/>
                    <pic:cNvPicPr/>
                  </pic:nvPicPr>
                  <pic:blipFill>
                    <a:blip r:embed="rId22"/>
                    <a:stretch>
                      <a:fillRect/>
                    </a:stretch>
                  </pic:blipFill>
                  <pic:spPr>
                    <a:xfrm>
                      <a:off x="0" y="0"/>
                      <a:ext cx="5760000" cy="3413993"/>
                    </a:xfrm>
                    <a:prstGeom prst="rect"/>
                  </pic:spPr>
                </pic:pic>
              </a:graphicData>
            </a:graphic>
          </wp:inline>
        </w:drawing>
      </w:r>
    </w:p>
    <w:p>
      <w:pPr>
        <w:spacing w:before="0" w:after="200" w:line="240" w:lineRule="auto"/>
        <w:jc w:val="center"/>
      </w:pPr>
      <w:r>
        <w:rPr>
          <w:rFonts w:ascii="Times New Roman" w:hAnsi="Times New Roman"/>
          <w:b w:val="0"/>
          <w:i/>
          <w:sz w:val="20"/>
        </w:rPr>
        <w:t>Figure E2 - Instrument shares of physical-retail payments, 2017-2025. Workbook F2_PAYMENTS.</w:t>
      </w:r>
    </w:p>
    <w:p>
      <w:pPr>
        <w:spacing w:before="160" w:after="40"/>
        <w:jc w:val="center"/>
      </w:pPr>
      <w:r>
        <w:drawing>
          <wp:inline xmlns:a="http://schemas.openxmlformats.org/drawingml/2006/main" xmlns:pic="http://schemas.openxmlformats.org/drawingml/2006/picture">
            <wp:extent cx="5760000" cy="3617153"/>
            <wp:docPr id="14" name="Picture 14"/>
            <wp:cNvGraphicFramePr>
              <a:graphicFrameLocks noChangeAspect="1"/>
            </wp:cNvGraphicFramePr>
            <a:graphic>
              <a:graphicData uri="http://schemas.openxmlformats.org/drawingml/2006/picture">
                <pic:pic>
                  <pic:nvPicPr>
                    <pic:cNvPr id="0" name="figA_e3_productivity.png"/>
                    <pic:cNvPicPr/>
                  </pic:nvPicPr>
                  <pic:blipFill>
                    <a:blip r:embed="rId23"/>
                    <a:stretch>
                      <a:fillRect/>
                    </a:stretch>
                  </pic:blipFill>
                  <pic:spPr>
                    <a:xfrm>
                      <a:off x="0" y="0"/>
                      <a:ext cx="5760000" cy="3617153"/>
                    </a:xfrm>
                    <a:prstGeom prst="rect"/>
                  </pic:spPr>
                </pic:pic>
              </a:graphicData>
            </a:graphic>
          </wp:inline>
        </w:drawing>
      </w:r>
    </w:p>
    <w:p>
      <w:pPr>
        <w:spacing w:before="0" w:after="200" w:line="240" w:lineRule="auto"/>
        <w:jc w:val="center"/>
      </w:pPr>
      <w:r>
        <w:rPr>
          <w:rFonts w:ascii="Times New Roman" w:hAnsi="Times New Roman"/>
          <w:b w:val="0"/>
          <w:i/>
          <w:sz w:val="20"/>
        </w:rPr>
        <w:t>Figure E3 - Danish labour productivity against the EU-27 average, 2005-2025. An index on EU27 = 100, so it shows relative position, not growth.</w:t>
      </w:r>
    </w:p>
    <w:p>
      <w:r>
        <w:br w:type="page"/>
      </w:r>
    </w:p>
    <w:p>
      <w:pPr>
        <w:spacing w:before="0" w:after="160"/>
        <w:jc w:val="left"/>
      </w:pPr>
      <w:r>
        <w:rPr>
          <w:rFonts w:ascii="Times New Roman" w:hAnsi="Times New Roman"/>
          <w:b/>
          <w:i w:val="0"/>
          <w:sz w:val="26"/>
        </w:rPr>
        <w:t>Appendix F. Policy Specification and Implementation Timeline</w:t>
      </w:r>
    </w:p>
    <w:p>
      <w:pPr>
        <w:spacing w:before="0" w:after="120"/>
        <w:jc w:val="both"/>
      </w:pPr>
      <w:r>
        <w:rPr>
          <w:rFonts w:ascii="Times New Roman" w:hAnsi="Times New Roman"/>
          <w:b w:val="0"/>
          <w:i w:val="0"/>
          <w:sz w:val="24"/>
        </w:rPr>
        <w:t>Section 6 recommends two measures. The second — restructuring SMV:Digital's allocation so the scheme can measure its own effect —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F.1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percentage points against the controls' 13, and employment growth of 8% against 4% (Digitaliseringsstyrelsen 2025b). That is register data with a comparison group, and it disposes of the naive reading of the scheme's own headline — that 65% of participants invested further Digitaliseringsstyrelsen 2025c —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F1</w:t>
      </w:r>
    </w:p>
    <w:p>
      <w:pPr>
        <w:spacing w:before="160" w:after="80"/>
        <w:jc w:val="left"/>
      </w:pPr>
      <w:r>
        <w:rPr>
          <w:rFonts w:ascii="Times New Roman" w:hAnsi="Times New Roman"/>
          <w:b/>
          <w:i w:val="0"/>
          <w:sz w:val="24"/>
        </w:rPr>
        <w:t>F.2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Firms cannot precisely control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disbursement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F.3 The alternative, and why it is rejected</w:t>
      </w:r>
    </w:p>
    <w:p>
      <w:pPr>
        <w:spacing w:before="0" w:after="120"/>
        <w:jc w:val="both"/>
      </w:pPr>
      <w:r>
        <w:rPr>
          <w:rFonts w:ascii="Times New Roman" w:hAnsi="Times New Roman"/>
          <w:b w:val="0"/>
          <w:i w:val="0"/>
          <w:sz w:val="24"/>
        </w:rPr>
        <w:t>The cleaner design is randomised allocation among eligible applicants, and an oversubscribed pool would supply it at no budgetary cost. Germany tried it. Under *Digital Jetzt*, the Bundesrechnungshof found that lottery allocation led firms to **postpone**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F.4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 firms the assessors found neither clearly strong nor clearly weak —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Section 3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F.5 Timeline</w:t>
      </w:r>
    </w:p>
    <w:p>
      <w:pPr>
        <w:spacing w:before="0" w:after="120"/>
        <w:jc w:val="both"/>
      </w:pPr>
      <w:r>
        <w:rPr>
          <w:rFonts w:ascii="Times New Roman" w:hAnsi="Times New Roman"/>
          <w:b w:val="0"/>
          <w:i w:val="0"/>
          <w:sz w:val="24"/>
        </w:rPr>
        <w:t>Figure F2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5" name="Picture 15"/>
            <wp:cNvGraphicFramePr>
              <a:graphicFrameLocks noChangeAspect="1"/>
            </wp:cNvGraphicFramePr>
            <a:graphic>
              <a:graphicData uri="http://schemas.openxmlformats.org/drawingml/2006/picture">
                <pic:pic>
                  <pic:nvPicPr>
                    <pic:cNvPr id="0" name="fig8_smvdigital.png"/>
                    <pic:cNvPicPr/>
                  </pic:nvPicPr>
                  <pic:blipFill>
                    <a:blip r:embed="rId24"/>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F1 -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457571"/>
            <wp:docPr id="16" name="Picture 16"/>
            <wp:cNvGraphicFramePr>
              <a:graphicFrameLocks noChangeAspect="1"/>
            </wp:cNvGraphicFramePr>
            <a:graphic>
              <a:graphicData uri="http://schemas.openxmlformats.org/drawingml/2006/picture">
                <pic:pic>
                  <pic:nvPicPr>
                    <pic:cNvPr id="0" name="figA_f1_gantt.png"/>
                    <pic:cNvPicPr/>
                  </pic:nvPicPr>
                  <pic:blipFill>
                    <a:blip r:embed="rId25"/>
                    <a:stretch>
                      <a:fillRect/>
                    </a:stretch>
                  </pic:blipFill>
                  <pic:spPr>
                    <a:xfrm>
                      <a:off x="0" y="0"/>
                      <a:ext cx="5760000" cy="2457571"/>
                    </a:xfrm>
                    <a:prstGeom prst="rect"/>
                  </pic:spPr>
                </pic:pic>
              </a:graphicData>
            </a:graphic>
          </wp:inline>
        </w:drawing>
      </w:r>
    </w:p>
    <w:p>
      <w:pPr>
        <w:spacing w:before="0" w:after="200" w:line="240" w:lineRule="auto"/>
        <w:jc w:val="center"/>
      </w:pPr>
      <w:r>
        <w:rPr>
          <w:rFonts w:ascii="Times New Roman" w:hAnsi="Times New Roman"/>
          <w:b w:val="0"/>
          <w:i/>
          <w:sz w:val="20"/>
        </w:rPr>
        <w:t>Figure F2 - Implementation and evaluation timeline for the SMV:Digital scoring-threshold design proposed in Section 6.</w:t>
      </w:r>
    </w:p>
    <w:p>
      <w:r>
        <w:br w:type="page"/>
      </w:r>
    </w:p>
    <w:p>
      <w:pPr>
        <w:spacing w:before="0" w:after="160"/>
        <w:jc w:val="left"/>
      </w:pPr>
      <w:r>
        <w:rPr>
          <w:rFonts w:ascii="Times New Roman" w:hAnsi="Times New Roman"/>
          <w:b/>
          <w:i w:val="0"/>
          <w:sz w:val="26"/>
        </w:rPr>
        <w:t>Appendix G. Comparative Law on Mandatory Digital Administration</w:t>
      </w:r>
    </w:p>
    <w:p>
      <w:pPr>
        <w:spacing w:before="0" w:after="120"/>
        <w:jc w:val="both"/>
      </w:pPr>
      <w:r>
        <w:rPr>
          <w:rFonts w:ascii="Times New Roman" w:hAnsi="Times New Roman"/>
          <w:b w:val="0"/>
          <w:i w:val="0"/>
          <w:sz w:val="24"/>
        </w:rPr>
        <w:t>Section 6 recommends widening the exemption criteria in *Lov om Offentlig Digital Post*. The case for doing so is not only domestic. Two European courts have in the last four years examined mandatory digital administration and set conditions Denmark's mandate does not meet. This appendix sets out what they held, and what follows for a Danish reform.</w:t>
      </w:r>
    </w:p>
    <w:p>
      <w:pPr>
        <w:spacing w:before="160" w:after="80"/>
        <w:jc w:val="left"/>
      </w:pPr>
      <w:r>
        <w:rPr>
          <w:rFonts w:ascii="Times New Roman" w:hAnsi="Times New Roman"/>
          <w:b/>
          <w:i w:val="0"/>
          <w:sz w:val="24"/>
        </w:rPr>
        <w:t>G.1 France: mandatory digital service is lawful only on conditions</w:t>
      </w:r>
    </w:p>
    <w:p>
      <w:pPr>
        <w:spacing w:before="0" w:after="120"/>
        <w:jc w:val="both"/>
      </w:pPr>
      <w:r>
        <w:rPr>
          <w:rFonts w:ascii="Times New Roman" w:hAnsi="Times New Roman"/>
          <w:b w:val="0"/>
          <w:i w:val="0"/>
          <w:sz w:val="24"/>
        </w:rPr>
        <w:t>In Decision No. 452798 of 3 June 2022, the Conseil d'État partially annulled the decree requiring residence-permit applications to be made through the ANEF portal (Conseil d'Etat 2022). The court accepted that a regulatory authority may compel the use of a digital service. It held that the obligation is lawful only where users retain normal access to the public service and can exercise their rights effectively — and that this must be assessed *in concreto*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G.2 Belgium: the alternatives are cumulative, and cost is not a defence</w:t>
      </w:r>
    </w:p>
    <w:p>
      <w:pPr>
        <w:spacing w:before="0" w:after="120"/>
        <w:jc w:val="both"/>
      </w:pPr>
      <w:r>
        <w:rPr>
          <w:rFonts w:ascii="Times New Roman" w:hAnsi="Times New Roman"/>
          <w:b w:val="0"/>
          <w:i w:val="0"/>
          <w:sz w:val="24"/>
        </w:rPr>
        <w:t>In *Arrêt* No. 126/2025 of 25 September 2025, the Cour constitutionnelle ruled on the Brussels Digital ordinance of 2024 in an action brought by twenty-four associations and unions (Cour constitutionnelle 2025). It held that three non-digital channels — a physical counter, a telephone service and a postal route — are **cumulative**: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(Section 6). The Belgian court's position is that the saving is not a reason the obligation ceases to apply — which, applied to a Danish debate conducted almost entirely in administrative-cost terms, reverses the burden of argument.</w:t>
      </w:r>
    </w:p>
    <w:p>
      <w:pPr>
        <w:spacing w:before="160" w:after="80"/>
        <w:jc w:val="left"/>
      </w:pPr>
      <w:r>
        <w:rPr>
          <w:rFonts w:ascii="Times New Roman" w:hAnsi="Times New Roman"/>
          <w:b/>
          <w:i w:val="0"/>
          <w:sz w:val="24"/>
        </w:rPr>
        <w:t>G.3 What this does and does not establish</w:t>
      </w:r>
    </w:p>
    <w:p>
      <w:pPr>
        <w:spacing w:before="0" w:after="120"/>
        <w:jc w:val="both"/>
      </w:pPr>
      <w:r>
        <w:rPr>
          <w:rFonts w:ascii="Times New Roman" w:hAnsi="Times New Roman"/>
          <w:b w:val="0"/>
          <w:i w:val="0"/>
          <w:sz w:val="24"/>
        </w:rPr>
        <w:t>Neither ruling binds Denmark. The Conseil d'État decision concerns French administrative law and a specific applicant population — foreign nationals seeking residence permits — whose vulnerability the court treated as material. The Belgian ruling construes a Brussels regional ordinance against Belgian constitutional guarantees. Neither is a holding about *Lov om Offentlig Digital Post*, and this appendix does not claim that Denmark's mandate is unlawful.</w:t>
      </w:r>
    </w:p>
    <w:p>
      <w:pPr>
        <w:spacing w:before="0" w:after="120"/>
        <w:jc w:val="both"/>
      </w:pPr>
      <w:r>
        <w:rPr>
          <w:rFonts w:ascii="Times New Roman" w:hAnsi="Times New Roman"/>
          <w:b w:val="0"/>
          <w:i w:val="0"/>
          <w:sz w:val="24"/>
        </w:rPr>
        <w:t>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*difficulty*, not to a prior administrative status. That is precisely the gap Section 4 measured and Section 6 proposes to close, and the comparison shows the proposal is not an outlier but a convergence.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