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so the consequence of non-engagement falls on the recipient. Exemption exists, but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on 31 October 2023 (Digitaliseringsstyrelsen 2025a). That pairing is the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the return that warranted compelling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built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only in 2004, so the three changes span different windows and must not be differenced (Appendix B).</w:t>
      </w:r>
    </w:p>
    <w:p>
      <w:pPr>
        <w:spacing w:before="0" w:after="120"/>
        <w:jc w:val="both"/>
      </w:pPr>
      <w:r>
        <w:rPr>
          <w:rFonts w:ascii="Times New Roman" w:hAnsi="Times New Roman"/>
          <w:b w:val="0"/>
          <w:i w:val="0"/>
          <w:sz w:val="24"/>
        </w:rPr>
        <w:t>Payments moved with it. Cash fell from 23% to 9% of the *number* of payments in physical retail between 2017 and 2025, to under two-fifths of its 2017 share, while card-based mobile wallets reached 32% of the same measure (Danmarks Nationalbank 2025). Much of this is displacement within digital instruments: wallet payments are card payments, and the physical card share fell from 73% to 54% (Appendix E). What replaced cash was mostly a new interface onto existing card infrastructure — which is what a rail makes cheap to build. Cash acceptance remains a statutory obligation on shops under *lov om betalinger* §81, narrowed but not removed in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2026a; Eurostat 2025c).</w:t>
      </w:r>
    </w:p>
    <w:p>
      <w:pPr>
        <w:spacing w:before="0" w:after="120"/>
        <w:jc w:val="both"/>
      </w:pPr>
      <w:r>
        <w:rPr>
          <w:rFonts w:ascii="Times New Roman" w:hAnsi="Times New Roman"/>
          <w:b w:val="0"/>
          <w:i w:val="0"/>
          <w:sz w:val="24"/>
        </w:rPr>
        <w:t>Appendix C reports the diagnostics; three matter here. An earlier version drew its adoption values from a Eurostat news release (Eurostat 2025a) naming only the distribution's ends, where the fit was R² 0.853 against 0.674 here and the slope moved by 8% — selection bias measured rather than asserted. The slope survives dropping any single state, ranging [0.516, 0.672]. And the nine states absent for want of the turnover measure are indistinguishable from the plotted eighteen on adoption (p ≈ 0.71).</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but by less than one residual standard error and behind three other member states: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2026a); the ranking is in Appendix E. Enterprise breadth is not. Only 38.78% of Danish enterprises make any e-sales at all — second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E-sales rose from 17.05% of enterprise turnover in 2014 to 33.31% in 2024, while the EU-27 average rose from 16.43% to 19.49% (Figure 4). Both began the decade level; Denmark roughly doubled, the EU gained three percentage points.</w:t>
      </w:r>
    </w:p>
    <w:p>
      <w:pPr>
        <w:spacing w:before="0" w:after="120"/>
        <w:jc w:val="both"/>
      </w:pPr>
      <w:r>
        <w:rPr>
          <w:rFonts w:ascii="Times New Roman" w:hAnsi="Times New Roman"/>
          <w:b w:val="0"/>
          <w:i w:val="0"/>
          <w:sz w:val="24"/>
        </w:rPr>
        <w:t>The same pattern governs the newest technology, and identifies who could build on the rail. In 2025, 42.03% of Danish enterprises used artificial intelligence — but 74.52% of large firms against 40.99% of small and medium-sized ones, a gap of 33.53 points (Figure 5; European Commission 2026). This is not a connectivity or literacy failure: 92.45% of Danish SMEs clear the basic digital-intensity threshold, against an EU average of 71.39%. What they lack is the complementary capital — data, integration, specialist staff — that turns access into application, and that capital is distributed by firm size. Compulsion can mandate access to infrastructure; it cannot mandate the absorptive capacity that turns infrastructure into product.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Europe's most compulsory digital government delivers below-average services through it.</w:t>
      </w:r>
    </w:p>
    <w:p>
      <w:pPr>
        <w:spacing w:before="0" w:after="120"/>
        <w:jc w:val="both"/>
      </w:pPr>
      <w:r>
        <w:rPr>
          <w:rFonts w:ascii="Times New Roman" w:hAnsi="Times New Roman"/>
          <w:b w:val="0"/>
          <w:i w:val="0"/>
          <w:sz w:val="24"/>
        </w:rPr>
        <w:t>That diagnosis is Sustainable Development Goal 8, Target 8.2 — productivity growth through technological upgrading.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85 and over, 33% do (Digitaliseringsstyrelsen 2026). One in three of the oldest cohort sits legally outside a system the state made compulsory. These are 2022 figures and the headline rate below is from 2026: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It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They are not strictly comparable — measure, year and denominator all differ — so read it as a ladder, not a series; Appendix D reconciles them. Some 6.5% of Danes do not use digital public services at all and 16.5% report difficulty using them (European Commission 2026); the widest estimates reach a quarter of adults ((Digitaliseringsstyrelsen 2025d); (Justitia 2022)). The counts are clearer than the percentages: exemption reaches 238,479 people, while 16.5% of a population of 6.03 million (Danmarks Statistik 2026) is roughly 994,000,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Denmark leads the Union in all three bands, and its gradient from youngest to oldest is 24.25 percentage points against the EU's 31.95 (Figure 7).</w:t>
      </w:r>
    </w:p>
    <w:p>
      <w:pPr>
        <w:spacing w:before="0" w:after="120"/>
        <w:jc w:val="both"/>
      </w:pPr>
      <w:r>
        <w:rPr>
          <w:rFonts w:ascii="Times New Roman" w:hAnsi="Times New Roman"/>
          <w:b w:val="0"/>
          <w:i w:val="0"/>
          <w:sz w:val="24"/>
        </w:rPr>
        <w:t>The exclusion is therefore administrative, not a capability deficit: the mandate was calibrated above the bottom of its own distribution, and the exemption criteria were drawn narrower than the difficulty they relieve. A rail everyone must board and a sixth of the population finds hard to use is a universal obligation, not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study meant to settle it was abandoned when the municipalities declined to take part (Rigsrevisionen 2016). Denmark compels its adult population onto a business case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already fixed the adjacent problem: since June 2023 an exempt citizen is entitled, on request, to a non-digital alternative to any mandatory self-service solution (Folketinget 2023). That decoupled the channel from the obligation but left the gate untouched, because the right runs only to those already exempt. Section 4 measured that gate: roughly three-quarters of a million people report the difficulty the 2023 Act relieves and cannot reach the relief. The Conseil d'État (Conseil d'Etat 2022) and the Belgian Cour constitutionnelle (Cour constitutionnelle 2025) have both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complementary capability — data integration and specialist skills, the binding constraint identified in Section 3. Its effect is better evidenced than most such schemes: Digitaliseringsstyrelsen matches recipients to comparable firms in the Danmarks Statistik registers and finds revenue growth five percentage points higher (Digitaliseringsstyrelsen 2025b). But matching handles selection on what the registers record — sector, size, age, prior trajectory — not on what they do not, and for a voluntary scheme that residual is the whole problem: a manager ambitious enough to apply is ambitious enough to grow unaided. The next pool opens 26 October 2026 (SMV:Digital 2026), and its eligibility scoring already produces a threshold that would identify the effect directly. Appendix F specifies the instrument, its outcome measures and its timeline.</w:t>
      </w:r>
    </w:p>
    <w:p>
      <w:pPr>
        <w:spacing w:before="0" w:after="120"/>
        <w:jc w:val="both"/>
      </w:pPr>
      <w:r>
        <w:rPr>
          <w:rFonts w:ascii="Times New Roman" w:hAnsi="Times New Roman"/>
          <w:b w:val="0"/>
          <w:i w:val="0"/>
          <w:sz w:val="24"/>
        </w:rPr>
        <w:t>Both follow from one reading: Denmark built a rail, then left who could board it, and who could build on it, to a capability it never distributed. The evidence has limits, set out in Appendices A to G — not least that Section 2's cross-section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Wirtschaftsfuehrung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d'Etat 2022, Decision No. 452798, 3 June 2022, Conseil d'Etat,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Arret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Nationalbank 2026, Danskerne betaler mere digitalt – det gør offline-betalinger endnu vigtigere som beredskab, press release, 26 June, Danmarks Nationalbank, Copenhagen, accessed 12 September 2026.</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Effektmaaling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Eurostat 2026b, Labour productivity per person employed and hour worked (EU27_2020=100), dataset tesem160, last updated 9 September 2026, Eurostat, accessed 13 September 2026, &lt;https://ec.europa.eu/eurostat/databrowser/view/tesem160/default/table?lang=en&gt;.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Institut for Menneskerettigheder 2023, Rettigheder i den digitale velfaerdsstat,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 to be completed by the author]**, used between the start of data assembly and submission on 17 September 2026. This appendix states what was delegated, how each delegation was checked, and — the part that matters — four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29 sources in `03_SOURCES`, 23 of them cited</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1,782-check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Four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criticism that was already answered.** A late draft of Section 6 asserted that the SMV:Digital scheme was "self-reported and uncontrolled: it measures participation, not effect." The first half was correct. The second was false: a search for the scheme's evaluation found a register-based effect measurement in which Digitaliseringsstyrelsen links recipients to Danmarks Statistik records and compares them with matched control firms (Digitaliseringsstyrelsen 2025b). The report was criticising an absence that does not exist. The same search established that Act 603 of 2023 (Folketinget 2023) had already granted the entitlement a second recommendation proposed, and that a supreme audit institution had rejected the allocation mechanism Appendix F specified (Bundesrechnungshof 2022). All three were rewritten on the verified position, which in each case produced a sharper argument than the one it replaced. The lesson is that an unverified criticism is as much a fabrication risk as an unverified number, and harder to notice, because a critical claim reads as caution rather than as a factual assertion requiring a source.</w:t>
      </w:r>
    </w:p>
    <w:p>
      <w:pPr>
        <w:spacing w:before="0" w:after="120"/>
        <w:jc w:val="both"/>
      </w:pPr>
      <w:r>
        <w:rPr>
          <w:rFonts w:ascii="Times New Roman" w:hAnsi="Times New Roman"/>
          <w:b w:val="0"/>
          <w:i w:val="0"/>
          <w:sz w:val="24"/>
        </w:rPr>
        <w:t>A fifth class is worth recording because it is the opposite failure. During self-audit, the audit tooling raised four alarms — an under-cited figure, an off-palette chart, scatters with no y-values, and a mis-sized figure — all four of which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 four times, as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2026a).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2026a)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 a difference of −1.57pp, with a two-sample t of −0.372 on 25 degrees of freedom, p ≈ 0.71. The two groups are statistically indistinguishable on the x-axis. The sample is missing on availability of the outcome measure, not selected on the regressor.</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82068"/>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82068"/>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2026a). The measure is the share of **internet users** who made an online purchase in the preceding twelve months, not the share of all individuals —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not a new instrument — which is what one would expect where an identity rail lowers the cost of building a new interface on existing payment infrastructure.</w:t>
      </w:r>
    </w:p>
    <w:p>
      <w:pPr>
        <w:spacing w:before="0" w:after="120"/>
        <w:jc w:val="both"/>
      </w:pPr>
      <w:r>
        <w:rPr>
          <w:rFonts w:ascii="Times New Roman" w:hAnsi="Times New Roman"/>
          <w:b w:val="0"/>
          <w:i w:val="0"/>
          <w:sz w:val="24"/>
        </w:rPr>
        <w:t>One consequence is not an economic one. Danmarks Nationalbank notes that as payments move digital, offline payment capability becomes more important as national contingency rather than less (Danmarks Nationalbank 2026): a payment system with no working fallback concentrates risk at the same time as it lowers cost. The same logic applies to the identity rail this report describes, and Section 4 measures who bears it when no fallback exists.</w:t>
      </w:r>
    </w:p>
    <w:p>
      <w:pPr>
        <w:spacing w:before="160" w:after="80"/>
        <w:jc w:val="left"/>
      </w:pPr>
      <w:r>
        <w:rPr>
          <w:rFonts w:ascii="Times New Roman" w:hAnsi="Times New Roman"/>
          <w:b/>
          <w:i w:val="0"/>
          <w:sz w:val="24"/>
        </w:rPr>
        <w:t>E.3 Labour productivity against the EU-27 average</w:t>
      </w:r>
    </w:p>
    <w:p>
      <w:pPr>
        <w:spacing w:before="0" w:after="120"/>
        <w:jc w:val="both"/>
      </w:pPr>
      <w:r>
        <w:rPr>
          <w:rFonts w:ascii="Times New Roman" w:hAnsi="Times New Roman"/>
          <w:b w:val="0"/>
          <w:i w:val="0"/>
          <w:sz w:val="24"/>
        </w:rPr>
        <w:t>Figure E3</w:t>
      </w:r>
    </w:p>
    <w:p>
      <w:pPr>
        <w:spacing w:before="0" w:after="120"/>
        <w:jc w:val="both"/>
      </w:pPr>
      <w:r>
        <w:rPr>
          <w:rFonts w:ascii="Times New Roman" w:hAnsi="Times New Roman"/>
          <w:b w:val="0"/>
          <w:i w:val="0"/>
          <w:sz w:val="24"/>
        </w:rPr>
        <w:t>Every other measure in this report is an adoption measure. This one is an economic outcome: nominal labour productivity per person, indexed so that the EU-27 equals 100 in each year Eurostat 2026b. Denmark stood at 109.2 in 2005, peaked at 121.0 in 2021, and stands at 116.8 in 2025.</w:t>
      </w:r>
    </w:p>
    <w:p>
      <w:pPr>
        <w:spacing w:before="0" w:after="120"/>
        <w:jc w:val="both"/>
      </w:pPr>
      <w:r>
        <w:rPr>
          <w:rFonts w:ascii="Times New Roman" w:hAnsi="Times New Roman"/>
          <w:b w:val="0"/>
          <w:i w:val="0"/>
          <w:sz w:val="24"/>
        </w:rPr>
        <w:t>Three cautions govern how far it can be read. The series is an index on the EU average, so a rise means Denmark gained **relative to its peers** and says nothing about whether Danish productivity grew. It is measured per person rather than per hour, which makes it sensitive to changes in part-time work. And it is nominal, in current prices at purchasing power standards, so price movements are inside it.</w:t>
      </w:r>
    </w:p>
    <w:p>
      <w:pPr>
        <w:spacing w:before="0" w:after="120"/>
        <w:jc w:val="both"/>
      </w:pPr>
      <w:r>
        <w:rPr>
          <w:rFonts w:ascii="Times New Roman" w:hAnsi="Times New Roman"/>
          <w:b w:val="0"/>
          <w:i w:val="0"/>
          <w:sz w:val="24"/>
        </w:rPr>
        <w:t>What it establishes is therefore modest and worth stating plainly: across the period Denmark built its digital infrastructure, its productivity position improved against the EU average and has not returned to where it started. The series is consistent with the report's argument. It does not demonstrate it, and no single-country time series could — the 2021 peak coincides with a pandemic that moved measured productivity everywhere, which is the clearest possible illustration that this series responds to more than digital policy.</w:t>
      </w:r>
    </w:p>
    <w:p>
      <w:pPr>
        <w:spacing w:before="160" w:after="40"/>
        <w:jc w:val="center"/>
      </w:pPr>
      <w:r>
        <w:drawing>
          <wp:inline xmlns:a="http://schemas.openxmlformats.org/drawingml/2006/main" xmlns:pic="http://schemas.openxmlformats.org/drawingml/2006/picture">
            <wp:extent cx="5760000" cy="4697795"/>
            <wp:docPr id="12" name="Picture 12"/>
            <wp:cNvGraphicFramePr>
              <a:graphicFrameLocks noChangeAspect="1"/>
            </wp:cNvGraphicFramePr>
            <a:graphic>
              <a:graphicData uri="http://schemas.openxmlformats.org/drawingml/2006/picture">
                <pic:pic>
                  <pic:nvPicPr>
                    <pic:cNvPr id="0" name="figA_e1_eu27.png"/>
                    <pic:cNvPicPr/>
                  </pic:nvPicPr>
                  <pic:blipFill>
                    <a:blip r:embed="rId21"/>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3" name="Picture 13"/>
            <wp:cNvGraphicFramePr>
              <a:graphicFrameLocks noChangeAspect="1"/>
            </wp:cNvGraphicFramePr>
            <a:graphic>
              <a:graphicData uri="http://schemas.openxmlformats.org/drawingml/2006/picture">
                <pic:pic>
                  <pic:nvPicPr>
                    <pic:cNvPr id="0" name="figA_e2_payments.png"/>
                    <pic:cNvPicPr/>
                  </pic:nvPicPr>
                  <pic:blipFill>
                    <a:blip r:embed="rId22"/>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p>
      <w:pPr>
        <w:spacing w:before="160" w:after="40"/>
        <w:jc w:val="center"/>
      </w:pPr>
      <w:r>
        <w:drawing>
          <wp:inline xmlns:a="http://schemas.openxmlformats.org/drawingml/2006/main" xmlns:pic="http://schemas.openxmlformats.org/drawingml/2006/picture">
            <wp:extent cx="5760000" cy="3617153"/>
            <wp:docPr id="14" name="Picture 14"/>
            <wp:cNvGraphicFramePr>
              <a:graphicFrameLocks noChangeAspect="1"/>
            </wp:cNvGraphicFramePr>
            <a:graphic>
              <a:graphicData uri="http://schemas.openxmlformats.org/drawingml/2006/picture">
                <pic:pic>
                  <pic:nvPicPr>
                    <pic:cNvPr id="0" name="figA_e3_productivity.png"/>
                    <pic:cNvPicPr/>
                  </pic:nvPicPr>
                  <pic:blipFill>
                    <a:blip r:embed="rId23"/>
                    <a:stretch>
                      <a:fillRect/>
                    </a:stretch>
                  </pic:blipFill>
                  <pic:spPr>
                    <a:xfrm>
                      <a:off x="0" y="0"/>
                      <a:ext cx="5760000" cy="3617153"/>
                    </a:xfrm>
                    <a:prstGeom prst="rect"/>
                  </pic:spPr>
                </pic:pic>
              </a:graphicData>
            </a:graphic>
          </wp:inline>
        </w:drawing>
      </w:r>
    </w:p>
    <w:p>
      <w:pPr>
        <w:spacing w:before="0" w:after="200" w:line="240" w:lineRule="auto"/>
        <w:jc w:val="center"/>
      </w:pPr>
      <w:r>
        <w:rPr>
          <w:rFonts w:ascii="Times New Roman" w:hAnsi="Times New Roman"/>
          <w:b w:val="0"/>
          <w:i/>
          <w:sz w:val="20"/>
        </w:rPr>
        <w:t>Figure E3 - Danish labour productivity against the EU-27 average, 2005-2025. An index on EU27 = 100, so it shows relative position, not growth.</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 restructuring SMV:Digital's allocation so the scheme can measure its own effect —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 a gap of five percentage points — and employment growth of 8% against 4% (Digitaliseringsstyrelsen 2025b). That is register data with a comparison group, and it disposes of the naive reading of the scheme's own headline — that 65% of participants invested further Digitaliseringsstyrelsen 2025c —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Firms cannot precisely control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 firms the assessors found neither clearly strong nor clearly weak —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5" name="Picture 15"/>
            <wp:cNvGraphicFramePr>
              <a:graphicFrameLocks noChangeAspect="1"/>
            </wp:cNvGraphicFramePr>
            <a:graphic>
              <a:graphicData uri="http://schemas.openxmlformats.org/drawingml/2006/picture">
                <pic:pic>
                  <pic:nvPicPr>
                    <pic:cNvPr id="0" name="fig8_smvdigital.png"/>
                    <pic:cNvPicPr/>
                  </pic:nvPicPr>
                  <pic:blipFill>
                    <a:blip r:embed="rId24"/>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6" name="Picture 16"/>
            <wp:cNvGraphicFramePr>
              <a:graphicFrameLocks noChangeAspect="1"/>
            </wp:cNvGraphicFramePr>
            <a:graphic>
              <a:graphicData uri="http://schemas.openxmlformats.org/drawingml/2006/picture">
                <pic:pic>
                  <pic:nvPicPr>
                    <pic:cNvPr id="0" name="figA_f1_gantt.png"/>
                    <pic:cNvPicPr/>
                  </pic:nvPicPr>
                  <pic:blipFill>
                    <a:blip r:embed="rId25"/>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This appendix sets out what they held,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d'Etat 2022). The court accepted that a regulatory authority may compel the use of a digital service. It held that the obligation is lawful only where users retain normal access to the public service and can exercise their rights effectively —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 a physical counter, a telephone service and a postal route —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 which, applied to a Danish debate conducted almost entirely in administrative-cost terms, reverses the burden of argument.</w:t>
      </w:r>
    </w:p>
    <w:p>
      <w:pPr>
        <w:spacing w:before="160" w:after="80"/>
        <w:jc w:val="left"/>
      </w:pPr>
      <w:r>
        <w:rPr>
          <w:rFonts w:ascii="Times New Roman" w:hAnsi="Times New Roman"/>
          <w:b/>
          <w:i w:val="0"/>
          <w:sz w:val="24"/>
        </w:rPr>
        <w:t>G.3 What this does and does not establish</w:t>
      </w:r>
    </w:p>
    <w:p>
      <w:pPr>
        <w:spacing w:before="0" w:after="120"/>
        <w:jc w:val="both"/>
      </w:pPr>
      <w:r>
        <w:rPr>
          <w:rFonts w:ascii="Times New Roman" w:hAnsi="Times New Roman"/>
          <w:b w:val="0"/>
          <w:i w:val="0"/>
          <w:sz w:val="24"/>
        </w:rPr>
        <w:t>Neither ruling binds Denmark. The Conseil d'État decision concerns French administrative law and a specific applicant population — foreign nationals seeking residence permits —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