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but thin among firms and at the edges of the population, and legal compulsion, the instrument that delivered the universal part,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its speed and its shape.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Alongside it the state issued a universal electronic credential, whose dates Table 1 records.</w:t>
      </w:r>
    </w:p>
    <w:p>
      <w:pPr>
        <w:spacing w:before="0" w:after="120"/>
        <w:jc w:val="both"/>
      </w:pPr>
      <w:r>
        <w:rPr>
          <w:rFonts w:ascii="Times New Roman" w:hAnsi="Times New Roman"/>
          <w:b w:val="0"/>
          <w:i w:val="0"/>
          <w:sz w:val="24"/>
        </w:rPr>
        <w:t>What distinguishes the Danish case is the combination of the two. A mandate alone changes only how letters are sent, whereas a mandate joined to a universal credential creates authentication infrastructure that every citizen must hold and any firm may build upon without financing its adoption, lowering the fixed cost of everything built on top of it. As an adoption instrument it worked: Eurostat (2026a) records that 98.5% of Danish individuals aged 16 to 74 used a public authority website or app during 2024, the highest share in the Union against an EU-27 average of 70%. Because compulsion rather than preference accounts for that use, the economic interest lies not in the adoption itself but in what industry built on that foundation, as the following two sectors show.</w:t>
      </w:r>
    </w:p>
    <w:p>
      <w:pPr>
        <w:spacing w:before="0" w:after="120"/>
        <w:jc w:val="both"/>
      </w:pPr>
      <w:r>
        <w:rPr>
          <w:rFonts w:ascii="Times New Roman" w:hAnsi="Times New Roman"/>
          <w:b w:val="0"/>
          <w:i w:val="0"/>
          <w:sz w:val="24"/>
        </w:rPr>
        <w:t>In retail banking the outcome was consolidation rather than contraction. Finans Danmark (2025) reports that branches fell from 2,025 in 2004 to 665 in 2024, a decline of 67% (Figure 1), which taken alone suggests that digitalisation destroyed banking employment. The longer series qualifies that reading, however, because between 1991 and 2024 institutions fell by 77% while employment fell by only 29% (Figure 2), so that staff per surviving institution rose from 233 to 706. The technologies behind this are online and mobile banking authenticated by MitID. Once identity and correspondence had moved onto shared national infrastructure, the branch ceased to be the distribution channel and the sector shed premises rather than labour.</w:t>
      </w:r>
    </w:p>
    <w:p>
      <w:pPr>
        <w:spacing w:before="0" w:after="120"/>
        <w:jc w:val="both"/>
      </w:pPr>
      <w:r>
        <w:rPr>
          <w:rFonts w:ascii="Times New Roman" w:hAnsi="Times New Roman"/>
          <w:b w:val="0"/>
          <w:i w:val="0"/>
          <w:sz w:val="24"/>
        </w:rPr>
        <w:t>Retail payments show innovation of a different kind.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since a wallet payment is itself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adoption is associated with greater commercial activity can in turn be tested. Using Eurostat (2026b), Figure 4 plots the share of internet users purchasing online against e-sales as a share of enterprise turnover across the Union in 2024, turnover coming from a separate extract (Eurostat 2025c). Across the 18 member states reporting both, the fitted slope is +0.60 percentage points of turnover per percentage point of adoption, with an R² of 0.674 and diagnostics in Appendix A. Causation is not established, since adoption is measured on consumers and turnover on enterprises while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06_SERIES.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06_SERIES.</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F6_ADOPT_BENEFIT.</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compared below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since e-sales grew from 17% of enterprise turnover in 2014 to 33% in 2024 against an EU-27 average moving from 16% to 19% (Figure 5): the firms that do sell online depend on it heavily, while the majority do not sell online at all. The newest technology divides along the same line, for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built for this purpose, both being co-financed grants aimed at small and medium enterprises that would not otherwise invest. They differ chiefly in how they choose recipients: SMV:Digital scores applications and funds the highest scorers until the pool is exhausted (SMV:Digital 2026), whereas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since Digitaliseringsstyrelsen (2025b) links recipients to Danmarks Statistik registers and compares them with matched controls, reporting revenue growth of 18% against 13% and employment growth of 8% against 4%. No comparable estimate is published for </w:t>
      </w:r>
      <w:r>
        <w:rPr>
          <w:rFonts w:ascii="Times New Roman" w:hAnsi="Times New Roman"/>
          <w:b w:val="0"/>
          <w:i/>
          <w:sz w:val="24"/>
        </w:rPr>
        <w:t>Digital Jetzt</w:t>
      </w:r>
      <w:r>
        <w:rPr>
          <w:rFonts w:ascii="Times New Roman" w:hAnsi="Times New Roman"/>
          <w:b w:val="0"/>
          <w:i w:val="0"/>
          <w:sz w:val="24"/>
        </w:rPr>
        <w:t>, whose allocation rule moreover drew an objection Denmark's does not face. The Bundesrechnungshof (2022) criticised awarding funding by lottery rather than on criteria, warned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nevertheless narrower than it appears, because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since SMV:Digital already scores its applicants and so already produces a funding threshold, which it then discards. Near that cut-off, funding turns on assessor variation rather than on the firm, which makes applicants just above and below comparable on precisely the unobservables that defeat matching. Retaining the scores and publishing the cut-off would therefore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06_SERIES.</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06_SERIES.</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since digital infrastructure substitutes information for materials at the point of use while creating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unusually it has been audited: Rigsrevisionen (2016) could verify roughly DKK 450 million a year of the saving projected from compulsory Digital Post, the verified component being precisely postage, paper and envelopes. That prices the paper avoided rather than weighing it, but the substitution covers correspondence with every adult in the country. Private payments substitute in the same way, Danmarks Nationalbank (2025) reporting that cash fell from 23% to 9% of physical retail payments between 2017 and 2025: a share rather than a volume, which establishes direction without quantity.</w:t>
      </w:r>
    </w:p>
    <w:p>
      <w:pPr>
        <w:spacing w:before="0" w:after="120"/>
        <w:jc w:val="both"/>
      </w:pPr>
      <w:r>
        <w:rPr>
          <w:rFonts w:ascii="Times New Roman" w:hAnsi="Times New Roman"/>
          <w:b w:val="0"/>
          <w:i w:val="0"/>
          <w:sz w:val="24"/>
        </w:rPr>
        <w:t xml:space="preserve">Against this, Denmark performs the disposal side of the same goal badly, for the European Commission (2026) reports that it recycled or prepared for reuse 15% of the ICT waste collected in 2023 against an EU-27 average of 80% (Figure 7). The denominator narrows the claim, because the base is ICT waste </w:t>
      </w:r>
      <w:r>
        <w:rPr>
          <w:rFonts w:ascii="Times New Roman" w:hAnsi="Times New Roman"/>
          <w:b w:val="0"/>
          <w:i/>
          <w:sz w:val="24"/>
        </w:rPr>
        <w:t>collected</w:t>
      </w:r>
      <w:r>
        <w:rPr>
          <w:rFonts w:ascii="Times New Roman" w:hAnsi="Times New Roman"/>
          <w:b w:val="0"/>
          <w:i w:val="0"/>
          <w:sz w:val="24"/>
        </w:rPr>
        <w:t>: the indicator describes what happens to devices reaching the waste stream, while remaining silent on how many never do. Nor does any trend accompany it, the source publishing a single year, which makes 15% a level and not a direction. On the measure that exists,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accordingly been made on dematerialisation, while the circularity side of the same goal is where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06_SERIES.</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whose only relief is statutory exemption from Digital Post. The scale of that relief among the oldest citizens therefore indicates the difficulty: Digitaliseringsstyrelsen (2026) reports that nearly one citizen in five aged 75 to 84 holds a formal exemption, rising to roughly one in three among those 85 and over.</w:t>
      </w:r>
    </w:p>
    <w:p>
      <w:pPr>
        <w:spacing w:before="0" w:after="120"/>
        <w:jc w:val="both"/>
      </w:pPr>
      <w:r>
        <w:rPr>
          <w:rFonts w:ascii="Times New Roman" w:hAnsi="Times New Roman"/>
          <w:b w:val="0"/>
          <w:i w:val="0"/>
          <w:sz w:val="24"/>
        </w:rPr>
        <w:t>The measure on which Denmark ranks first is the one least able to detect this, since Eurostat (2026a) puts Danish e-government use at 98.5% while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rather than the reach means choosing between estimates that do not agree, the narrowest being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near a quarter of adults. These are not points on a scale, since measure, year and denominator differ; Figure 9 sets them side by side and Appendix C reconciles them. Because the counts are clearer than the percentages, the conversion is worth making: against a population of 6,025,603 (Danmarks Statistik 2026), 16.5% is roughly 994,000 people to 238,479 exempt, meaning that some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as the skills data make clear: Denmark's weakest age band, those aged 55 to 74, reaches 68% with at least basic digital skills against an EU average of 43%, and Denmark leads the Union in all three bands (Figure 10). The mandate is therefore calibrated above the bottom of its own distribution, and the exemption criteria are drawn more narrowly than the difficulty they relieve.</w:t>
      </w:r>
    </w:p>
    <w:p>
      <w:pPr>
        <w:spacing w:before="0" w:after="120"/>
        <w:jc w:val="both"/>
      </w:pPr>
      <w:r>
        <w:rPr>
          <w:rFonts w:ascii="Times New Roman" w:hAnsi="Times New Roman"/>
          <w:b w:val="0"/>
          <w:i w:val="0"/>
          <w:sz w:val="24"/>
        </w:rPr>
        <w:t>The criteria should accordingly be widened to admit documented difficulty rather than the listed statutory grounds alone, and Denmark has solved the adjacent problem already.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06_SERIES.</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F4_EXCLUSION.</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06_SERIES.</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being high by European standards at 42% of enterprises yet concentrated at 75% of large firms against 41% of small and medium ones. Access has been distributed and capability has not, which is the conclusion Question 2 reaches from Danish registers and the speaker from a regional survey.</w:t>
      </w:r>
    </w:p>
    <w:p>
      <w:pPr>
        <w:spacing w:before="0" w:after="120"/>
        <w:jc w:val="both"/>
      </w:pPr>
      <w:r>
        <w:rPr>
          <w:rFonts w:ascii="Times New Roman" w:hAnsi="Times New Roman"/>
          <w:b w:val="0"/>
          <w:i w:val="0"/>
          <w:sz w:val="24"/>
        </w:rPr>
        <w:t>The sustainability half supplied a test for that kind of claim. Tran's position was that a net zero commitment means little unless an external body has validated it, because an unvalidated commitment is one the claimant grades itself; PwC's own reduction of 22% is stated against a target the Science Based Targets initiative validated. Applied to Denmark, that standard is uncomfortable, since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being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 programmes extending that capability to smaller firms. That is the same instrument, and the same justification, as SMV:Digital, since the fixed cost of proving anything, emissions or returns, weighs the more heavily on the smaller firm.</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therefore statistically indistinguishable on the x-axis, so that the sample is missing on availability of the outcome measure rather than selected on the regressor.</w:t>
      </w:r>
    </w:p>
    <w:p>
      <w:pPr>
        <w:spacing w:before="0" w:after="120"/>
        <w:jc w:val="both"/>
      </w:pPr>
      <w:r>
        <w:rPr>
          <w:rFonts w:ascii="Times New Roman" w:hAnsi="Times New Roman"/>
          <w:b w:val="0"/>
          <w:i w:val="0"/>
          <w:sz w:val="24"/>
        </w:rPr>
        <w:t>That test has a limit worth stating, since the limit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Secondary suppression, finally,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F6_ADOPT_BENEFIT.</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F6_ADOPT_BENEFIT.</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F6_ADOPT_BENEFIT.</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The restructuring Question 2 recommends, which would let SMV:Digital measure its own effect, is a research design as much as a policy, and a design is only as good as its specification. This appendix states it at the level of detail an administering agency would need in order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since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in addition self-reported to the body funding the scheme.</w:t>
      </w:r>
    </w:p>
    <w:p>
      <w:pPr>
        <w:spacing w:before="0" w:after="120"/>
        <w:jc w:val="both"/>
      </w:pPr>
      <w:r>
        <w:rPr>
          <w:rFonts w:ascii="Times New Roman" w:hAnsi="Times New Roman"/>
          <w:b w:val="0"/>
          <w:i w:val="0"/>
          <w:sz w:val="24"/>
        </w:rPr>
        <w:t>The residual problem is the one matching cannot reach, because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The control arm, moreover,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exactly that, and the result is a caution rather than a precedent: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rather than on the strongest recipients or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06_SERIES.</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since the spread is itself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whereas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While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Nor does the obligation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first is that the entitlement attaches to the citizen rather than to an administrative status they must first qualify for, so that there is no gate of the kind Question 4 measures. It is also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whereas the French and Belgian rulings attach the entitlement to the </w:t>
      </w:r>
      <w:r>
        <w:rPr>
          <w:rFonts w:ascii="Times New Roman" w:hAnsi="Times New Roman"/>
          <w:b w:val="0"/>
          <w:i/>
          <w:sz w:val="24"/>
        </w:rPr>
        <w:t>difficulty</w:t>
      </w:r>
      <w:r>
        <w:rPr>
          <w:rFonts w:ascii="Times New Roman" w:hAnsi="Times New Roman"/>
          <w:b w:val="0"/>
          <w:i w:val="0"/>
          <w:sz w:val="24"/>
        </w:rPr>
        <w:t xml:space="preserve"> rather than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