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 did not persuade its citizens to adopt digital public services; it required them to do so.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Digitaliseringsstyrelsen (2025a) records that the accompanying identity credential, NemID, was replaced by MitID from October 2021 and withdrawn on 31 October 2023. The combination is what distinguishes the Danish case. A mandate alone changes how letters are sent; a mandate plus a universal credential creates shared authentication infrastructure every citizen must hold and any firm may build on without financing its adoption, lowering the fixed cost of services developed on it. Because compulsion accounts for citizens' use, the economic interest lies in what others built there.</w:t>
      </w:r>
    </w:p>
    <w:p>
      <w:pPr>
        <w:spacing w:before="0" w:after="120"/>
        <w:jc w:val="both"/>
      </w:pPr>
      <w:r>
        <w:rPr>
          <w:rFonts w:ascii="Times New Roman" w:hAnsi="Times New Roman"/>
          <w:b/>
          <w:i w:val="0"/>
          <w:sz w:val="24"/>
        </w:rPr>
        <w:t>Retail banking.</w:t>
      </w:r>
      <w:r>
        <w:rPr>
          <w:rFonts w:ascii="Times New Roman" w:hAnsi="Times New Roman"/>
          <w:b w:val="0"/>
          <w:i w:val="0"/>
          <w:sz w:val="24"/>
        </w:rPr>
        <w:t xml:space="preserve"> Finans Danmark (2025) reports that Danish retail bank branches fell from 2,025 in 2004 to 665 in 2024, a decline of 67.2% (Figure 1). Taken alone that suggests digitalisation eliminated banking employment, but the longer series qualifies it: between 1991 and 2024 financial institutions fell by 76.7%, from 219 to 51, while bank employment fell by only 29.4%, from roughly 51,000 to 36,000 (Figure 2). Staff per surviving institution therefore rose from 233 to 706, an increase of 203%. The technologies doing this are online and mobile banking authenticated by MitID: with identity verification and correspondence on shared national infrastructure, branches ceased to be the distribution channel, output per institution rose and the sector consolidated rather than shed labour. The three series begin in different years and must not be differenced.</w:t>
      </w:r>
    </w:p>
    <w:p>
      <w:pPr>
        <w:spacing w:before="0" w:after="120"/>
        <w:jc w:val="both"/>
      </w:pPr>
      <w:r>
        <w:rPr>
          <w:rFonts w:ascii="Times New Roman" w:hAnsi="Times New Roman"/>
          <w:b/>
          <w:i w:val="0"/>
          <w:sz w:val="24"/>
        </w:rPr>
        <w:t>Retail payments.</w:t>
      </w:r>
      <w:r>
        <w:rPr>
          <w:rFonts w:ascii="Times New Roman" w:hAnsi="Times New Roman"/>
          <w:b w:val="0"/>
          <w:i w:val="0"/>
          <w:sz w:val="24"/>
        </w:rPr>
        <w:t xml:space="preserve"> Danmarks Nationalbank (2025) reports that cash fell from 23% to 9% of the </w:t>
      </w:r>
      <w:r>
        <w:rPr>
          <w:rFonts w:ascii="Times New Roman" w:hAnsi="Times New Roman"/>
          <w:b w:val="0"/>
          <w:i/>
          <w:sz w:val="24"/>
        </w:rPr>
        <w:t>number</w:t>
      </w:r>
      <w:r>
        <w:rPr>
          <w:rFonts w:ascii="Times New Roman" w:hAnsi="Times New Roman"/>
          <w:b w:val="0"/>
          <w:i w:val="0"/>
          <w:sz w:val="24"/>
        </w:rPr>
        <w:t xml:space="preserve"> of payments in physical retail between 2017 and 2025, while card-based mobile wallets reached 32% of the same measure (Figure 3). Much of this is displacement within digital instruments rather than new digitalisation, because wallet payments are card payments and the physical card share fell from 73% to 54%. What changed for consumers was the interface, not the rails underneath, which is the kind of innovation shared infrastructure makes cheap to attempt.</w:t>
      </w:r>
    </w:p>
    <w:p>
      <w:pPr>
        <w:spacing w:before="0" w:after="120"/>
        <w:jc w:val="both"/>
      </w:pPr>
      <w:r>
        <w:rPr>
          <w:rFonts w:ascii="Times New Roman" w:hAnsi="Times New Roman"/>
          <w:b/>
          <w:i w:val="0"/>
          <w:sz w:val="24"/>
        </w:rPr>
        <w:t>Broader economic effect.</w:t>
      </w:r>
      <w:r>
        <w:rPr>
          <w:rFonts w:ascii="Times New Roman" w:hAnsi="Times New Roman"/>
          <w:b w:val="0"/>
          <w:i w:val="0"/>
          <w:sz w:val="24"/>
        </w:rPr>
        <w:t xml:space="preserve"> Whether wider consumer adoption is associated with greater commercial activity can be tested directly. Using data from Eurostat (2026), Figure 4 plots the share of internet users purchasing online against e-sales as a share of enterprise turnover across the European Union in 2024, the turnover measure from a separate extract (Eurostat 2025c). Across the 18 member states reporting both, the fitted slope is +0.602 percentage points of turnover per percentage point of adoption, with a standard error of 0.105 and an R² of 0.674. Appendix A reports the diagnostics. Causation is not established: adoption is measured on consumers and turnover on enterprises, and national income appears on neither axis. Denmark sits above the line by less than one residual standard error and behind three other states, consistent with the European pattern rather than exceptional to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line="240" w:lineRule="auto" w:after="40"/>
            </w:pPr>
            <w:r>
              <w:rPr>
                <w:rFonts w:ascii="Times New Roman" w:hAnsi="Times New Roman"/>
                <w:b/>
                <w:sz w:val="20"/>
              </w:rPr>
              <w:t>Date</w:t>
            </w:r>
          </w:p>
        </w:tc>
        <w:tc>
          <w:tcPr>
            <w:tcW w:type="dxa" w:w="3009"/>
          </w:tcPr>
          <w:p>
            <w:pPr>
              <w:spacing w:line="240" w:lineRule="auto" w:after="40"/>
            </w:pPr>
            <w:r>
              <w:rPr>
                <w:rFonts w:ascii="Times New Roman" w:hAnsi="Times New Roman"/>
                <w:b/>
                <w:sz w:val="20"/>
              </w:rPr>
              <w:t>Instrument</w:t>
            </w:r>
          </w:p>
        </w:tc>
        <w:tc>
          <w:tcPr>
            <w:tcW w:type="dxa" w:w="3009"/>
          </w:tcPr>
          <w:p>
            <w:pPr>
              <w:spacing w:line="240" w:lineRule="auto" w:after="40"/>
            </w:pPr>
            <w:r>
              <w:rPr>
                <w:rFonts w:ascii="Times New Roman" w:hAnsi="Times New Roman"/>
                <w:b/>
                <w:sz w:val="20"/>
              </w:rPr>
              <w:t>What it did</w:t>
            </w:r>
          </w:p>
        </w:tc>
      </w:tr>
      <w:tr>
        <w:tc>
          <w:tcPr>
            <w:tcW w:type="dxa" w:w="3009"/>
          </w:tcPr>
          <w:p>
            <w:pPr>
              <w:spacing w:line="240" w:lineRule="auto" w:after="40"/>
            </w:pPr>
            <w:r>
              <w:rPr>
                <w:rFonts w:ascii="Times New Roman" w:hAnsi="Times New Roman"/>
                <w:sz w:val="20"/>
              </w:rPr>
              <w:t>2012-06-11</w:t>
            </w:r>
          </w:p>
        </w:tc>
        <w:tc>
          <w:tcPr>
            <w:tcW w:type="dxa" w:w="3009"/>
          </w:tcPr>
          <w:p>
            <w:pPr>
              <w:spacing w:line="240" w:lineRule="auto" w:after="40"/>
            </w:pPr>
            <w:r>
              <w:rPr>
                <w:rFonts w:ascii="Times New Roman" w:hAnsi="Times New Roman"/>
                <w:sz w:val="20"/>
              </w:rPr>
              <w:t>LOV nr 528 af 11/06/2012</w:t>
            </w:r>
          </w:p>
        </w:tc>
        <w:tc>
          <w:tcPr>
            <w:tcW w:type="dxa" w:w="3009"/>
          </w:tcPr>
          <w:p>
            <w:pPr>
              <w:spacing w:line="240" w:lineRule="auto" w:after="40"/>
            </w:pPr>
            <w:r>
              <w:rPr>
                <w:rFonts w:ascii="Times New Roman" w:hAnsi="Times New Roman"/>
                <w:sz w:val="20"/>
              </w:rPr>
              <w:t>Lov om Offentlig Digital Post adopted</w:t>
            </w:r>
          </w:p>
        </w:tc>
      </w:tr>
      <w:tr>
        <w:tc>
          <w:tcPr>
            <w:tcW w:type="dxa" w:w="3009"/>
          </w:tcPr>
          <w:p>
            <w:pPr>
              <w:spacing w:line="240" w:lineRule="auto" w:after="40"/>
            </w:pPr>
            <w:r>
              <w:rPr>
                <w:rFonts w:ascii="Times New Roman" w:hAnsi="Times New Roman"/>
                <w:sz w:val="20"/>
              </w:rPr>
              <w:t>2014-11-01</w:t>
            </w:r>
          </w:p>
        </w:tc>
        <w:tc>
          <w:tcPr>
            <w:tcW w:type="dxa" w:w="3009"/>
          </w:tcPr>
          <w:p>
            <w:pPr>
              <w:spacing w:line="240" w:lineRule="auto" w:after="40"/>
            </w:pPr>
            <w:r>
              <w:rPr>
                <w:rFonts w:ascii="Times New Roman" w:hAnsi="Times New Roman"/>
                <w:sz w:val="20"/>
              </w:rPr>
              <w:t>Lov om Offentlig Digital Post</w:t>
            </w:r>
          </w:p>
        </w:tc>
        <w:tc>
          <w:tcPr>
            <w:tcW w:type="dxa" w:w="3009"/>
          </w:tcPr>
          <w:p>
            <w:pPr>
              <w:spacing w:line="240" w:lineRule="auto" w:after="40"/>
            </w:pPr>
            <w:r>
              <w:rPr>
                <w:rFonts w:ascii="Times New Roman" w:hAnsi="Times New Roman"/>
                <w:sz w:val="20"/>
              </w:rPr>
              <w:t>Digital Post becomes mandatory for citizens aged 15+</w:t>
            </w:r>
          </w:p>
        </w:tc>
      </w:tr>
      <w:tr>
        <w:tc>
          <w:tcPr>
            <w:tcW w:type="dxa" w:w="3009"/>
          </w:tcPr>
          <w:p>
            <w:pPr>
              <w:spacing w:line="240" w:lineRule="auto" w:after="40"/>
            </w:pPr>
            <w:r>
              <w:rPr>
                <w:rFonts w:ascii="Times New Roman" w:hAnsi="Times New Roman"/>
                <w:sz w:val="20"/>
              </w:rPr>
              <w:t>2023-10-31</w:t>
            </w:r>
          </w:p>
        </w:tc>
        <w:tc>
          <w:tcPr>
            <w:tcW w:type="dxa" w:w="3009"/>
          </w:tcPr>
          <w:p>
            <w:pPr>
              <w:spacing w:line="240" w:lineRule="auto" w:after="40"/>
            </w:pPr>
            <w:r>
              <w:rPr>
                <w:rFonts w:ascii="Times New Roman" w:hAnsi="Times New Roman"/>
                <w:sz w:val="20"/>
              </w:rPr>
              <w:t>National electronic ID replacement programme</w:t>
            </w:r>
          </w:p>
        </w:tc>
        <w:tc>
          <w:tcPr>
            <w:tcW w:type="dxa" w:w="3009"/>
          </w:tcPr>
          <w:p>
            <w:pPr>
              <w:spacing w:line="240" w:lineRule="auto" w:after="40"/>
            </w:pPr>
            <w:r>
              <w:rPr>
                <w:rFonts w:ascii="Times New Roman" w:hAnsi="Times New Roman"/>
                <w:sz w:val="20"/>
              </w:rPr>
              <w:t>NemID fully phased out</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i w:val="0"/>
          <w:sz w:val="24"/>
        </w:rPr>
        <w:t>The problem both policies address.</w:t>
      </w:r>
      <w:r>
        <w:rPr>
          <w:rFonts w:ascii="Times New Roman" w:hAnsi="Times New Roman"/>
          <w:b w:val="0"/>
          <w:i w:val="0"/>
          <w:sz w:val="24"/>
        </w:rPr>
        <w:t xml:space="preserve"> Denmark leads Europe on citizen adoption, not on firm capability. Eurostat (2026) records that 90.86% of Danish internet users bought online in 2024, third of the twenty-seven member states, while only 38.78% of Danish enterprises make any e-sales, second in the Union behind Lithuania at 43.03% and still under two firms in five (Eurostat 2025b). Intensity rose where breadth did not: e-sales grew from 17.05% of enterprise turnover in 2014 to 33.31% in 2024, against an EU-27 average moving from 16.43% to 19.49% (Figure 5). The same split governs the newest technology. The European Commission (2026) reports that 42.03% of Danish enterprises used artificial intelligence in 2025, comprising 74.52% of large firms against 40.99% of small and medium ones, a gap of 33.53 percentage points (Figure 6). This is not a connectivity failure, since 92.45% of Danish SMEs clear the basic digital-intensity threshold against an EU average of 71.39%. What smaller firms lack is the complementary capital, namely data, systems integration and specialist staff, that converts access into application.</w:t>
      </w:r>
    </w:p>
    <w:p>
      <w:pPr>
        <w:spacing w:before="0" w:after="120"/>
        <w:jc w:val="both"/>
      </w:pPr>
      <w:r>
        <w:rPr>
          <w:rFonts w:ascii="Times New Roman" w:hAnsi="Times New Roman"/>
          <w:b/>
          <w:i w:val="0"/>
          <w:sz w:val="24"/>
        </w:rPr>
        <w:t>The two instruments.</w:t>
      </w:r>
      <w:r>
        <w:rPr>
          <w:rFonts w:ascii="Times New Roman" w:hAnsi="Times New Roman"/>
          <w:b w:val="0"/>
          <w:i w:val="0"/>
          <w:sz w:val="24"/>
        </w:rPr>
        <w:t xml:space="preserve"> Denmark's SMV:Digital and Germany's </w:t>
      </w:r>
      <w:r>
        <w:rPr>
          <w:rFonts w:ascii="Times New Roman" w:hAnsi="Times New Roman"/>
          <w:b w:val="0"/>
          <w:i/>
          <w:sz w:val="24"/>
        </w:rPr>
        <w:t>Digital Jetzt</w:t>
      </w:r>
      <w:r>
        <w:rPr>
          <w:rFonts w:ascii="Times New Roman" w:hAnsi="Times New Roman"/>
          <w:b w:val="0"/>
          <w:i w:val="0"/>
          <w:sz w:val="24"/>
        </w:rPr>
        <w:t xml:space="preserve"> share an objective, to raise digital investment among firms that would not otherwise make it, and both are co-financed grants to small and medium enterprises. They differ in how they choose recipients. SMV:Digital scores applications and funds the highest scorers until the pool is exhausted, the next pool opening on 26 October 2026 (SMV:Digital 2026);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and its allocation rule drew an objection Denmark's does not face: the Bundesrechnungshof (2022) criticised awarding the funding by lottery rather than on criteria, warning that firms would postpone investment while waiting for a favourable draw, and called for the procedure to be discontinued. A lottery makes the grant a prize worth waiting for, and waiting is the opposite of the behaviour the scheme exists to produce.</w:t>
      </w:r>
    </w:p>
    <w:p>
      <w:pPr>
        <w:spacing w:before="0" w:after="120"/>
        <w:jc w:val="both"/>
      </w:pPr>
      <w:r>
        <w:rPr>
          <w:rFonts w:ascii="Times New Roman" w:hAnsi="Times New Roman"/>
          <w:b/>
          <w:i w:val="0"/>
          <w:sz w:val="24"/>
        </w:rPr>
        <w:t>Weaknesses and implementation challenges.</w:t>
      </w:r>
      <w:r>
        <w:rPr>
          <w:rFonts w:ascii="Times New Roman" w:hAnsi="Times New Roman"/>
          <w:b w:val="0"/>
          <w:i w:val="0"/>
          <w:sz w:val="24"/>
        </w:rPr>
        <w:t xml:space="preserve"> Denmark's advantage is narrower than it appears. Matching addresses selection on what the registers record, namely sector, size, age and prior trajectory, and not on what they do not. Selection into a voluntary scheme runs on managerial ambition and the slack to write an application, the traits that also produce revenue growth, so the matched estimate retains an upward bias of unknown size. Neither scheme reaches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SMV:Digital already scores applicants, so it already produces a funding threshold; it simply discards the information. Near the cut-off, whether a firm is funded turns on assessor variation rather than on the firm, which makes applicants just above and just below comparable on exactly the unobservables that defeat matching. Retaining the scores and publishing the cut-off would allow a regression discontinuity estimate at administrative cost only. Appendix B specifies the design.</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Digital infrastructure substitutes information for materials at the point of use and creates a new material stream at disposal. Denmark is unusually far along the first and unusually far behind on the second.</w:t>
      </w:r>
    </w:p>
    <w:p>
      <w:pPr>
        <w:spacing w:before="0" w:after="120"/>
        <w:jc w:val="both"/>
      </w:pPr>
      <w:r>
        <w:rPr>
          <w:rFonts w:ascii="Times New Roman" w:hAnsi="Times New Roman"/>
          <w:b/>
          <w:i w:val="0"/>
          <w:sz w:val="24"/>
        </w:rPr>
        <w:t>Positive contribution.</w:t>
      </w:r>
      <w:r>
        <w:rPr>
          <w:rFonts w:ascii="Times New Roman" w:hAnsi="Times New Roman"/>
          <w:b w:val="0"/>
          <w:i w:val="0"/>
          <w:sz w:val="24"/>
        </w:rPr>
        <w:t xml:space="preserve"> The mandate's audited benefit is a dematerialisation benefit. Rigsrevisionen (2016) could verify roughly DKK 450 million a year of the projected saving from compulsory Digital Post, and the verified component is precisely postage, paper and envelopes. That is a financial figure rather than a tonnage, so it prices the paper avoided rather than weighing it, but the substitution is real and covers correspondence with every adult in the country. The payment system shows the same substitution privately: cash fell from 23% to 9% of physical retail payments between 2017 and 2025 (Danmarks Nationalbank 2025). That is a share rather than a volume, so it establishes the direction of substitution away from the printing, transport and destruction physical currency requires, and not the quantity of it avoided.</w:t>
      </w:r>
    </w:p>
    <w:p>
      <w:pPr>
        <w:spacing w:before="0" w:after="120"/>
        <w:jc w:val="both"/>
      </w:pPr>
      <w:r>
        <w:rPr>
          <w:rFonts w:ascii="Times New Roman" w:hAnsi="Times New Roman"/>
          <w:b/>
          <w:i w:val="0"/>
          <w:sz w:val="24"/>
        </w:rPr>
        <w:t>The remaining challenge.</w:t>
      </w:r>
      <w:r>
        <w:rPr>
          <w:rFonts w:ascii="Times New Roman" w:hAnsi="Times New Roman"/>
          <w:b w:val="0"/>
          <w:i w:val="0"/>
          <w:sz w:val="24"/>
        </w:rPr>
        <w:t xml:space="preserve"> Denmark performs the disposal side badly. The European Commission (2026) reports that Denmark recycled or prepared for reuse 15.37% of the ICT waste it collected in 2023, against an EU-27 average of 80.23%, a gap of roughly 65 percentage points (Figure 7). The denominator matters and narrows the claim: the base is ICT waste </w:t>
      </w:r>
      <w:r>
        <w:rPr>
          <w:rFonts w:ascii="Times New Roman" w:hAnsi="Times New Roman"/>
          <w:b w:val="0"/>
          <w:i/>
          <w:sz w:val="24"/>
        </w:rPr>
        <w:t>collected</w:t>
      </w:r>
      <w:r>
        <w:rPr>
          <w:rFonts w:ascii="Times New Roman" w:hAnsi="Times New Roman"/>
          <w:b w:val="0"/>
          <w:i w:val="0"/>
          <w:sz w:val="24"/>
        </w:rPr>
        <w:t>, so the indicator describes what happens to devices that reach the waste stream and is silent on how many never do. On the measure that exists, a country at or near the top of the Union on almost every digital indicator sits near the bottom on this one.</w:t>
      </w:r>
    </w:p>
    <w:p>
      <w:pPr>
        <w:spacing w:before="0" w:after="120"/>
        <w:jc w:val="both"/>
      </w:pPr>
      <w:r>
        <w:rPr>
          <w:rFonts w:ascii="Times New Roman" w:hAnsi="Times New Roman"/>
          <w:b/>
          <w:i w:val="0"/>
          <w:sz w:val="24"/>
        </w:rPr>
        <w:t>Indicator trend.</w:t>
      </w:r>
      <w:r>
        <w:rPr>
          <w:rFonts w:ascii="Times New Roman" w:hAnsi="Times New Roman"/>
          <w:b w:val="0"/>
          <w:i w:val="0"/>
          <w:sz w:val="24"/>
        </w:rPr>
        <w:t xml:space="preserve"> No trend can be reported. The source publishes a single year for this indicator, so 15.37% is a level and not a direction, and no claim is made about whether Danish performance is improving.</w:t>
      </w:r>
    </w:p>
    <w:p>
      <w:pPr>
        <w:spacing w:before="0" w:after="120"/>
        <w:jc w:val="both"/>
      </w:pPr>
      <w:r>
        <w:rPr>
          <w:rFonts w:ascii="Times New Roman" w:hAnsi="Times New Roman"/>
          <w:b/>
          <w:i w:val="0"/>
          <w:sz w:val="24"/>
        </w:rPr>
        <w:t>What this implies.</w:t>
      </w:r>
      <w:r>
        <w:rPr>
          <w:rFonts w:ascii="Times New Roman" w:hAnsi="Times New Roman"/>
          <w:b w:val="0"/>
          <w:i w:val="0"/>
          <w:sz w:val="24"/>
        </w:rPr>
        <w:t xml:space="preserve"> The two halves are connected by the same policy. A mandate requiring every adult to transact digitally also requires every adult to hold a device capable of running MitID, and that obligation was justified on an administrative saving alone. The environmental case for Danish digitalisation has been made on dematerialisation; the circularity side of the same goal is where its measured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i w:val="0"/>
          <w:sz w:val="24"/>
        </w:rPr>
        <w:t>The group and the policy.</w:t>
      </w:r>
      <w:r>
        <w:rPr>
          <w:rFonts w:ascii="Times New Roman" w:hAnsi="Times New Roman"/>
          <w:b w:val="0"/>
          <w:i w:val="0"/>
          <w:sz w:val="24"/>
        </w:rPr>
        <w:t xml:space="preserve"> The mandate falls most heavily on the oldest citizens, whose only relief is statutory exemption from Digital Post. Digitaliseringsstyrelsen (2026) reports that nearly one Danish citizen in five aged 75 to 84 holds a formal exemption, rising to roughly one in three among those 85 and over, so a third of the oldest cohort sits outside a compulsory system. Those are 2022 figures and the rate below is from 2026, so the two are complementary rather than points on a trend.</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In the first quarter of 2026, 4.7% of citizens aged 15 and over, or 238,479 people, were exempt, which is the narrowest available measure of the problem. Figure 8 sets it against four wider estimates, which are not comparable because measure, year and denominator all differ; Appendix C reconciles them. The European Commission (2026) reports that 6.5% of Danes do not use digital public services and 16.5% report difficulty using them, while Digitaliseringsstyrelsen (2025c) and Justitia (2022) put the widest estimates at about a quarter of adults. The counts are clearer than the percentages: 16.5% of 6,025,603 (Danmarks Statistik 2026) is roughly 994,000 against 238,479 exempt, so on the order of three-quarters of a million Danes struggle with a compulsory system while holding no standing outside it.</w:t>
      </w:r>
    </w:p>
    <w:p>
      <w:pPr>
        <w:spacing w:before="0" w:after="120"/>
        <w:jc w:val="both"/>
      </w:pPr>
      <w:r>
        <w:rPr>
          <w:rFonts w:ascii="Times New Roman" w:hAnsi="Times New Roman"/>
          <w:b/>
          <w:i w:val="0"/>
          <w:sz w:val="24"/>
        </w:rPr>
        <w:t>The barrier is administrative, not a skills deficit.</w:t>
      </w:r>
      <w:r>
        <w:rPr>
          <w:rFonts w:ascii="Times New Roman" w:hAnsi="Times New Roman"/>
          <w:b w:val="0"/>
          <w:i w:val="0"/>
          <w:sz w:val="24"/>
        </w:rPr>
        <w:t xml:space="preserve"> Denmark's weakest age band, those aged 55 to 74, reaches 67.81% with at least basic digital skills against an EU average of 42.60%, and Denmark leads the Union in all three bands (Figure 9). The mandate is calibrated above the bottom of its own distribution, and the exemption criteria are drawn more narrowly than the difficulty they relieve.</w:t>
      </w:r>
    </w:p>
    <w:p>
      <w:pPr>
        <w:spacing w:before="0" w:after="120"/>
        <w:jc w:val="both"/>
      </w:pPr>
      <w:r>
        <w:rPr>
          <w:rFonts w:ascii="Times New Roman" w:hAnsi="Times New Roman"/>
          <w:b/>
          <w:i w:val="0"/>
          <w:sz w:val="24"/>
        </w:rPr>
        <w:t>Recommendation.</w:t>
      </w:r>
      <w:r>
        <w:rPr>
          <w:rFonts w:ascii="Times New Roman" w:hAnsi="Times New Roman"/>
          <w:b w:val="0"/>
          <w:i w:val="0"/>
          <w:sz w:val="24"/>
        </w:rPr>
        <w:t xml:space="preserve"> The exemption criteria should be widened to admit documented difficulty rather than only the listed statutory grounds. Denmark has already solved the adjacent problem: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The Conseil d'État (2022) and the Belgian Cour constitutionnelle (2025) have since attached the entitlement to the difficulty rather than to a prior status (Appendix D).</w:t>
      </w:r>
    </w:p>
    <w:p>
      <w:pPr>
        <w:spacing w:before="160" w:after="40"/>
        <w:jc w:val="center"/>
      </w:pPr>
      <w:r>
        <w:drawing>
          <wp:inline xmlns:a="http://schemas.openxmlformats.org/drawingml/2006/main" xmlns:pic="http://schemas.openxmlformats.org/drawingml/2006/picture">
            <wp:extent cx="5580000" cy="3127852"/>
            <wp:docPr id="8" name="Picture 8"/>
            <wp:cNvGraphicFramePr>
              <a:graphicFrameLocks noChangeAspect="1"/>
            </wp:cNvGraphicFramePr>
            <a:graphic>
              <a:graphicData uri="http://schemas.openxmlformats.org/drawingml/2006/picture">
                <pic:pic>
                  <pic:nvPicPr>
                    <pic:cNvPr id="0" name="fig6_exclusion.png"/>
                    <pic:cNvPicPr/>
                  </pic:nvPicPr>
                  <pic:blipFill>
                    <a:blip r:embed="rId17"/>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8.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9" name="Picture 9"/>
            <wp:cNvGraphicFramePr>
              <a:graphicFrameLocks noChangeAspect="1"/>
            </wp:cNvGraphicFramePr>
            <a:graphic>
              <a:graphicData uri="http://schemas.openxmlformats.org/drawingml/2006/picture">
                <pic:pic>
                  <pic:nvPicPr>
                    <pic:cNvPr id="0" name="fig7_skills.png"/>
                    <pic:cNvPicPr/>
                  </pic:nvPicPr>
                  <pic:blipFill>
                    <a:blip r:embed="rId18"/>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9.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and the connection to Denmark was not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is high by European standards at 42.03% of enterprises and it is concentrated, 74.52% of large firms against 40.99% of small and medium ones. Access has been distributed and capability has not, which is the finding Question 2 reaches from Danish evidence and the guest speaker reached from a regional survey.</w:t>
      </w:r>
    </w:p>
    <w:p>
      <w:pPr>
        <w:spacing w:before="0" w:after="120"/>
        <w:jc w:val="both"/>
      </w:pPr>
      <w:r>
        <w:rPr>
          <w:rFonts w:ascii="Times New Roman" w:hAnsi="Times New Roman"/>
          <w:b w:val="0"/>
          <w:i w:val="0"/>
          <w:sz w:val="24"/>
        </w:rPr>
        <w:t>The sustainability half supplied the test. Tran's position was that a corporate net zero commitment means little unless an external body has validated it, because an unvalidated commitment is one the claimant grades itself; PwC's own reduction of 22% against a 2019 baseline is stated against a target the Science Based Targets initiative validated. Applied to Denmark, that standard is uncomfortable. SMV:Digital's headline figures are reported by participants to the body funding the scheme (Digitaliseringsstyrelsen 2025b), which is why Question 2 recommends an evaluation the agency does not run. The same standard applies to Question 3: Denmark's position on ICT waste recovery is measured and published by an external body rather than self-reported, which is why it can be stated against the EU-27 average at all.</w:t>
      </w:r>
    </w:p>
    <w:p>
      <w:pPr>
        <w:spacing w:before="0" w:after="120"/>
        <w:jc w:val="both"/>
      </w:pPr>
      <w:r>
        <w:rPr>
          <w:rFonts w:ascii="Times New Roman" w:hAnsi="Times New Roman"/>
          <w:b w:val="0"/>
          <w:i w:val="0"/>
          <w:sz w:val="24"/>
        </w:rPr>
        <w:t>One detail transfers directly to policy. Tran put the cost of that validation at USD 10,000 to 25,000, which in practice restricts it to large corporations, and described publicly funded programmes extending equivalent capability to smaller firms. That is the same instrument, and the same justification, as SMV:Digital. A fixed cost of proving anything, emissions or returns, is heavier the smaller the firm bearing it, and closing that gap is a government function in both.</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0" name="Picture 10"/>
            <wp:cNvGraphicFramePr>
              <a:graphicFrameLocks noChangeAspect="1"/>
            </wp:cNvGraphicFramePr>
            <a:graphic>
              <a:graphicData uri="http://schemas.openxmlformats.org/drawingml/2006/picture">
                <pic:pic>
                  <pic:nvPicPr>
                    <pic:cNvPr id="0" name="figA_c1_residuals.png"/>
                    <pic:cNvPicPr/>
                  </pic:nvPicPr>
                  <pic:blipFill>
                    <a:blip r:embed="rId19"/>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1" name="Picture 11"/>
            <wp:cNvGraphicFramePr>
              <a:graphicFrameLocks noChangeAspect="1"/>
            </wp:cNvGraphicFramePr>
            <a:graphic>
              <a:graphicData uri="http://schemas.openxmlformats.org/drawingml/2006/picture">
                <pic:pic>
                  <pic:nvPicPr>
                    <pic:cNvPr id="0" name="figA_c2_jackknife.png"/>
                    <pic:cNvPicPr/>
                  </pic:nvPicPr>
                  <pic:blipFill>
                    <a:blip r:embed="rId20"/>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2" name="Picture 12"/>
            <wp:cNvGraphicFramePr>
              <a:graphicFrameLocks noChangeAspect="1"/>
            </wp:cNvGraphicFramePr>
            <a:graphic>
              <a:graphicData uri="http://schemas.openxmlformats.org/drawingml/2006/picture">
                <pic:pic>
                  <pic:nvPicPr>
                    <pic:cNvPr id="0" name="figA_c3_tailselection.png"/>
                    <pic:cNvPicPr/>
                  </pic:nvPicPr>
                  <pic:blipFill>
                    <a:blip r:embed="rId21"/>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3" name="Picture 13"/>
            <wp:cNvGraphicFramePr>
              <a:graphicFrameLocks noChangeAspect="1"/>
            </wp:cNvGraphicFramePr>
            <a:graphic>
              <a:graphicData uri="http://schemas.openxmlformats.org/drawingml/2006/picture">
                <pic:pic>
                  <pic:nvPicPr>
                    <pic:cNvPr id="0" name="fig8_smvdigital.png"/>
                    <pic:cNvPicPr/>
                  </pic:nvPicPr>
                  <pic:blipFill>
                    <a:blip r:embed="rId22"/>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4" name="Picture 14"/>
            <wp:cNvGraphicFramePr>
              <a:graphicFrameLocks noChangeAspect="1"/>
            </wp:cNvGraphicFramePr>
            <a:graphic>
              <a:graphicData uri="http://schemas.openxmlformats.org/drawingml/2006/picture">
                <pic:pic>
                  <pic:nvPicPr>
                    <pic:cNvPr id="0" name="figA_f1_gantt.png"/>
                    <pic:cNvPicPr/>
                  </pic:nvPicPr>
                  <pic:blipFill>
                    <a:blip r:embed="rId23"/>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5" name="Picture 15"/>
            <wp:cNvGraphicFramePr>
              <a:graphicFrameLocks noChangeAspect="1"/>
            </wp:cNvGraphicFramePr>
            <a:graphic>
              <a:graphicData uri="http://schemas.openxmlformats.org/drawingml/2006/picture">
                <pic:pic>
                  <pic:nvPicPr>
                    <pic:cNvPr id="0" name="figA_d1_denominators.png"/>
                    <pic:cNvPicPr/>
                  </pic:nvPicPr>
                  <pic:blipFill>
                    <a:blip r:embed="rId24"/>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