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 did not persuade its citizens to adopt digital public services; it required them to do so.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Table 1 dates the accompanying credential: MitID replaced NemID, which was withdrawn on 31 October 2023. The combination distinguishes the Danish case. A mandate alone changes how letters are sent; a mandate plus a universal credential creates authentication infrastructure every citizen must hold and any firm may build on without financing its adoption, lowering the fixed cost of services built on it. The mandate worked as an adoption instrument: Eurostat (2025b) records that 98.5% of Danish individuals aged 16 to 74 used a public authority website or app during 2024, the highest share in the Union against an EU-27 average of 70.0%. Because compulsion accounts for that use, the economic interest lies in what others built on the same infrastructure.</w:t>
      </w:r>
    </w:p>
    <w:p>
      <w:pPr>
        <w:spacing w:before="0" w:after="120"/>
        <w:jc w:val="both"/>
      </w:pPr>
      <w:r>
        <w:rPr>
          <w:rFonts w:ascii="Times New Roman" w:hAnsi="Times New Roman"/>
          <w:b/>
          <w:i w:val="0"/>
          <w:sz w:val="24"/>
        </w:rPr>
        <w:t>Retail banking.</w:t>
      </w:r>
      <w:r>
        <w:rPr>
          <w:rFonts w:ascii="Times New Roman" w:hAnsi="Times New Roman"/>
          <w:b w:val="0"/>
          <w:i w:val="0"/>
          <w:sz w:val="24"/>
        </w:rPr>
        <w:t xml:space="preserve"> Finans Danmark (2025) reports that Danish retail bank branches fell from 2,025 in 2004 to 665 in 2024, a decline of 67.2% (Figure 1). Taken alone that suggests digitalisation eliminated banking employment, but the longer series qualifies it: between 1991 and 2024 financial institutions fell 76.7%, from 219 to 51, while bank employment fell only 29.4%, from roughly 51,000 to 36,000 (Figure 2). Staff per surviving institution rose from 233 to 706. The technologies doing this are online and mobile banking authenticated by MitID: with identity verification and correspondence on shared national infrastructure, branches ceased to be the distribution channel, output per institution rose and the sector consolidated rather than shed labour.</w:t>
      </w:r>
    </w:p>
    <w:p>
      <w:pPr>
        <w:spacing w:before="0" w:after="120"/>
        <w:jc w:val="both"/>
      </w:pPr>
      <w:r>
        <w:rPr>
          <w:rFonts w:ascii="Times New Roman" w:hAnsi="Times New Roman"/>
          <w:b/>
          <w:i w:val="0"/>
          <w:sz w:val="24"/>
        </w:rPr>
        <w:t>Retail payments.</w:t>
      </w:r>
      <w:r>
        <w:rPr>
          <w:rFonts w:ascii="Times New Roman" w:hAnsi="Times New Roman"/>
          <w:b w:val="0"/>
          <w:i w:val="0"/>
          <w:sz w:val="24"/>
        </w:rPr>
        <w:t xml:space="preserve"> Danmarks Nationalbank (2025) reports that cash fell from 23% to 9% of the </w:t>
      </w:r>
      <w:r>
        <w:rPr>
          <w:rFonts w:ascii="Times New Roman" w:hAnsi="Times New Roman"/>
          <w:b w:val="0"/>
          <w:i/>
          <w:sz w:val="24"/>
        </w:rPr>
        <w:t>number</w:t>
      </w:r>
      <w:r>
        <w:rPr>
          <w:rFonts w:ascii="Times New Roman" w:hAnsi="Times New Roman"/>
          <w:b w:val="0"/>
          <w:i w:val="0"/>
          <w:sz w:val="24"/>
        </w:rPr>
        <w:t xml:space="preserve"> of payments in physical retail between 2017 and 2025, while card-based mobile wallets reached 32% of the same measure (Figure 3). Much of this is displacement within digital instruments rather than new digitalisation, because wallet payments are card payments and the physical card share fell from 73% to 54%. What changed was the interface, not the rails underneath, which is the kind of innovation shared infrastructure makes cheap to attempt.</w:t>
      </w:r>
    </w:p>
    <w:p>
      <w:pPr>
        <w:spacing w:before="0" w:after="120"/>
        <w:jc w:val="both"/>
      </w:pPr>
      <w:r>
        <w:rPr>
          <w:rFonts w:ascii="Times New Roman" w:hAnsi="Times New Roman"/>
          <w:b/>
          <w:i w:val="0"/>
          <w:sz w:val="24"/>
        </w:rPr>
        <w:t>Broader economic effect.</w:t>
      </w:r>
      <w:r>
        <w:rPr>
          <w:rFonts w:ascii="Times New Roman" w:hAnsi="Times New Roman"/>
          <w:b w:val="0"/>
          <w:i w:val="0"/>
          <w:sz w:val="24"/>
        </w:rPr>
        <w:t xml:space="preserve"> Whether wider consumer adoption is associated with greater commercial activity can be tested. Using Eurostat (2026), Figure 4 plots the share of internet users purchasing online against e-sales as a share of enterprise turnover across the Union in 2024, the turnover measure from a separate extract (Eurostat 2025d). Across the 18 member states reporting both, the fitted slope is +0.602 percentage points of turnover per percentage point of adoption, with a standard error of 0.105 and R² of 0.674. Appendix A reports the diagnostics. Causation is not established: adoption is measured on consumers and turnover on enterprises, and national income appears on neither axis. Denmark sits above the line by less than one residual standard error and behind three other states, consistent with the European pattern rather than exceptional to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2025a</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i w:val="0"/>
          <w:sz w:val="24"/>
        </w:rPr>
        <w:t>The problem both policies address.</w:t>
      </w:r>
      <w:r>
        <w:rPr>
          <w:rFonts w:ascii="Times New Roman" w:hAnsi="Times New Roman"/>
          <w:b w:val="0"/>
          <w:i w:val="0"/>
          <w:sz w:val="24"/>
        </w:rPr>
        <w:t xml:space="preserve"> Denmark leads Europe on citizen adoption but not on firm capability. Its citizens rank first in the Union on e-government use; its firms rank second on e-sales and still only 38.78% of them make any, behind Lithuania at 43.03% and under two firms in five (Eurostat 2025c). A high rank on a low level is the problem, not the achievement. Intensity rose where breadth did not: e-sales grew from 17.05% of enterprise turnover in 2014 to 33.31% in 2024, against an EU-27 average moving from 16.43% to 19.49% (Figure 5). The same split governs the newest technology. The European Commission (2026) reports that 42.03% of Danish enterprises used artificial intelligence in 2025, comprising 74.52% of large firms against 40.99% of small and medium ones, a gap of 33.53 percentage points (Figure 6). This is not a connectivity failure, since 92.45% of Danish SMEs clear the basic digital-intensity threshold against an EU average of 71.39%. What smaller firms lack is the complementary capital, namely data, systems integration and specialist staff, that converts access into application.</w:t>
      </w:r>
    </w:p>
    <w:p>
      <w:pPr>
        <w:spacing w:before="0" w:after="120"/>
        <w:jc w:val="both"/>
      </w:pPr>
      <w:r>
        <w:rPr>
          <w:rFonts w:ascii="Times New Roman" w:hAnsi="Times New Roman"/>
          <w:b/>
          <w:i w:val="0"/>
          <w:sz w:val="24"/>
        </w:rPr>
        <w:t>The two instruments.</w:t>
      </w:r>
      <w:r>
        <w:rPr>
          <w:rFonts w:ascii="Times New Roman" w:hAnsi="Times New Roman"/>
          <w:b w:val="0"/>
          <w:i w:val="0"/>
          <w:sz w:val="24"/>
        </w:rPr>
        <w:t xml:space="preserve"> Denmark's SMV:Digital and Germany's </w:t>
      </w:r>
      <w:r>
        <w:rPr>
          <w:rFonts w:ascii="Times New Roman" w:hAnsi="Times New Roman"/>
          <w:b w:val="0"/>
          <w:i/>
          <w:sz w:val="24"/>
        </w:rPr>
        <w:t>Digital Jetzt</w:t>
      </w:r>
      <w:r>
        <w:rPr>
          <w:rFonts w:ascii="Times New Roman" w:hAnsi="Times New Roman"/>
          <w:b w:val="0"/>
          <w:i w:val="0"/>
          <w:sz w:val="24"/>
        </w:rPr>
        <w:t xml:space="preserve"> share an objective, to raise digital investment among firms that would not otherwise make it, and both are co-financed grants to small and medium enterprises. They differ in how they choose recipients. SMV:Digital scores applications and funds the highest scorers until the pool is exhausted, the next pool opening on 26 October 2026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and its allocation rule drew an objection Denmark's does not face: the Bundesrechnungshof (2022) criticised awarding the funding by lottery rather than on criteria, warning that firms would postpone investment while waiting for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 and implementation challenges.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and the slack to write an application, the traits that also produce revenue growth, so the matched estimate retains an upward bias of unknown size. Neither scheme reaches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SMV:Digital already scores applicants, so it already produces a funding threshold; it simply discards the information. Near the cut-off, whether a firm is funded turns on assessor variation rather than on the firm, which makes applicants just above and just below comparable on exactly the unobservables that defeat matching. Retaining the scores and publishing the cut-off would allow a regression discontinuity estimate at administrative cost only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Digital infrastructure substitutes information for materials at the point of use and creates a new material stream at disposal. Denmark is unusually far along the first and far behind on the second.</w:t>
      </w:r>
    </w:p>
    <w:p>
      <w:pPr>
        <w:spacing w:before="0" w:after="120"/>
        <w:jc w:val="both"/>
      </w:pPr>
      <w:r>
        <w:rPr>
          <w:rFonts w:ascii="Times New Roman" w:hAnsi="Times New Roman"/>
          <w:b/>
          <w:i w:val="0"/>
          <w:sz w:val="24"/>
        </w:rPr>
        <w:t>Positive contribution.</w:t>
      </w:r>
      <w:r>
        <w:rPr>
          <w:rFonts w:ascii="Times New Roman" w:hAnsi="Times New Roman"/>
          <w:b w:val="0"/>
          <w:i w:val="0"/>
          <w:sz w:val="24"/>
        </w:rPr>
        <w:t xml:space="preserve"> The mandate's audited benefit is a dematerialisation benefit. Rigsrevisionen (2016) could verify roughly DKK 450 million a year of the projected saving from compulsory Digital Post, and the verified component is precisely postage, paper and envelopes. That is a financial figure rather than a tonnage, so it prices the paper avoided rather than weighing it, but the substitution covers correspondence with every adult in the country. Payments show the same substitution privately: cash fell from 23% to 9% of physical retail payments between 2017 and 2025 (Danmarks Nationalbank 2025). That is a share rather than a volume, so it establishes the direction of the substitution and not its quantity.</w:t>
      </w:r>
    </w:p>
    <w:p>
      <w:pPr>
        <w:spacing w:before="0" w:after="120"/>
        <w:jc w:val="both"/>
      </w:pPr>
      <w:r>
        <w:rPr>
          <w:rFonts w:ascii="Times New Roman" w:hAnsi="Times New Roman"/>
          <w:b/>
          <w:i w:val="0"/>
          <w:sz w:val="24"/>
        </w:rPr>
        <w:t>The remaining challenge.</w:t>
      </w:r>
      <w:r>
        <w:rPr>
          <w:rFonts w:ascii="Times New Roman" w:hAnsi="Times New Roman"/>
          <w:b w:val="0"/>
          <w:i w:val="0"/>
          <w:sz w:val="24"/>
        </w:rPr>
        <w:t xml:space="preserve"> Denmark performs the disposal side badly. The European Commission (2026) reports that Denmark recycled or prepared for reuse 15.37% of the ICT waste it collected in 2023, against an EU-27 average of 80.23%, a gap of roughly 65 percentage points (Figure 7). The denominator matters and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On the measure that exists, a country at or near the top of the Union on almost every digital indicator sits near the bottom on this one.</w:t>
      </w:r>
    </w:p>
    <w:p>
      <w:pPr>
        <w:spacing w:before="0" w:after="120"/>
        <w:jc w:val="both"/>
      </w:pPr>
      <w:r>
        <w:rPr>
          <w:rFonts w:ascii="Times New Roman" w:hAnsi="Times New Roman"/>
          <w:b/>
          <w:i w:val="0"/>
          <w:sz w:val="24"/>
        </w:rPr>
        <w:t>Indicator trend.</w:t>
      </w:r>
      <w:r>
        <w:rPr>
          <w:rFonts w:ascii="Times New Roman" w:hAnsi="Times New Roman"/>
          <w:b w:val="0"/>
          <w:i w:val="0"/>
          <w:sz w:val="24"/>
        </w:rPr>
        <w:t xml:space="preserve"> No trend can be reported. The source publishes a single year for this indicator, so 15.37% is a level and not a direction, and no claim is made about whether Danish performance is improving.</w:t>
      </w:r>
    </w:p>
    <w:p>
      <w:pPr>
        <w:spacing w:before="0" w:after="120"/>
        <w:jc w:val="both"/>
      </w:pPr>
      <w:r>
        <w:rPr>
          <w:rFonts w:ascii="Times New Roman" w:hAnsi="Times New Roman"/>
          <w:b/>
          <w:i w:val="0"/>
          <w:sz w:val="24"/>
        </w:rPr>
        <w:t>What this implies.</w:t>
      </w:r>
      <w:r>
        <w:rPr>
          <w:rFonts w:ascii="Times New Roman" w:hAnsi="Times New Roman"/>
          <w:b w:val="0"/>
          <w:i w:val="0"/>
          <w:sz w:val="24"/>
        </w:rPr>
        <w:t xml:space="preserve"> The two halves are connected by the same policy. A mandate requiring every adult to transact digitally also requires every adult to hold a device capable of running MitID, and that obligation was justified on an administrative saving alone. The environmental case for Danish digitalisation has been made on dematerialisation; the circularity side of the same goal is where its measured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i w:val="0"/>
          <w:sz w:val="24"/>
        </w:rPr>
        <w:t>The group and the policy.</w:t>
      </w:r>
      <w:r>
        <w:rPr>
          <w:rFonts w:ascii="Times New Roman" w:hAnsi="Times New Roman"/>
          <w:b w:val="0"/>
          <w:i w:val="0"/>
          <w:sz w:val="24"/>
        </w:rPr>
        <w:t xml:space="preserve"> The mandate falls most heavily on the oldest citizens, whose only relief is statutory exemption from Digital Post. Digitaliseringsstyrelsen (2026) reports that nearly one citizen in five aged 75 to 84 holds a formal exemption, rising to roughly one in three among those 85 and over. Those are 2022 figures against a 2026 rate below, so the two are complementary rather than points on a trend.</w:t>
      </w:r>
    </w:p>
    <w:p>
      <w:pPr>
        <w:spacing w:before="0" w:after="120"/>
        <w:jc w:val="both"/>
      </w:pPr>
      <w:r>
        <w:rPr>
          <w:rFonts w:ascii="Times New Roman" w:hAnsi="Times New Roman"/>
          <w:b/>
          <w:i w:val="0"/>
          <w:sz w:val="24"/>
        </w:rPr>
        <w:t>Effectiveness, and what the headline conceals.</w:t>
      </w:r>
      <w:r>
        <w:rPr>
          <w:rFonts w:ascii="Times New Roman" w:hAnsi="Times New Roman"/>
          <w:b w:val="0"/>
          <w:i w:val="0"/>
          <w:sz w:val="24"/>
        </w:rPr>
        <w:t xml:space="preserve"> The measure on which Denmark ranks first is the one least able to detect this problem. Eurostat (2025b) puts Danish e-government use at 98.5%, but the survey asks only whether a person interacted online at all, once, in twelve months: it records reach, and is silent on whether the attempt succeeded or was made independently (Figure 8). In the first quarter of 2026, 4.7% of citizens aged 15 and over, or 238,479 people, were exempt, the narrowest available measure of the problem; Figure 9 sets it against four wider estimates that are not comparable because measure, year and denominator all differ, and Appendix C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16.5% of 6,025,603 (Danmarks Statistik 2026) is roughly 994,000 against 238,479 exempt, so on the order of three-quarters of a million Danes struggle with a compulsory system while holding no standing outside it.</w:t>
      </w:r>
    </w:p>
    <w:p>
      <w:pPr>
        <w:spacing w:before="0" w:after="120"/>
        <w:jc w:val="both"/>
      </w:pPr>
      <w:r>
        <w:rPr>
          <w:rFonts w:ascii="Times New Roman" w:hAnsi="Times New Roman"/>
          <w:b/>
          <w:i w:val="0"/>
          <w:sz w:val="24"/>
        </w:rPr>
        <w:t>The barrier is administrative, not a skills deficit.</w:t>
      </w:r>
      <w:r>
        <w:rPr>
          <w:rFonts w:ascii="Times New Roman" w:hAnsi="Times New Roman"/>
          <w:b w:val="0"/>
          <w:i w:val="0"/>
          <w:sz w:val="24"/>
        </w:rPr>
        <w:t xml:space="preserve"> Denmark's weakest age band, those aged 55 to 74, reaches 67.81% with at least basic digital skills against an EU average of 42.60%, and leads the Union in all three bands (Figure 10). The mandate is calibrated above the bottom of its own distribution, and the exemption criteria are drawn more narrowly than the difficulty they relieve.</w:t>
      </w:r>
    </w:p>
    <w:p>
      <w:pPr>
        <w:spacing w:before="0" w:after="120"/>
        <w:jc w:val="both"/>
      </w:pPr>
      <w:r>
        <w:rPr>
          <w:rFonts w:ascii="Times New Roman" w:hAnsi="Times New Roman"/>
          <w:b/>
          <w:i w:val="0"/>
          <w:sz w:val="24"/>
        </w:rPr>
        <w:t>Recommendation.</w:t>
      </w:r>
      <w:r>
        <w:rPr>
          <w:rFonts w:ascii="Times New Roman" w:hAnsi="Times New Roman"/>
          <w:b w:val="0"/>
          <w:i w:val="0"/>
          <w:sz w:val="24"/>
        </w:rPr>
        <w:t xml:space="preserve"> The exemption criteria should be widened to admit documented difficulty rather than only the listed statutory grounds. Denmark has already solved the adjacent problem: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entitlement to the difficulty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and the connection to Denmark was not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is high by European standards at 42.03% of enterprises and it is concentrated, 74.52% of large firms against 40.99% of small and medium ones. Access has been distributed and capability has not, which is the finding Question 2 reaches from Danish evidence and the guest speaker reached from a regional survey.</w:t>
      </w:r>
    </w:p>
    <w:p>
      <w:pPr>
        <w:spacing w:before="0" w:after="120"/>
        <w:jc w:val="both"/>
      </w:pPr>
      <w:r>
        <w:rPr>
          <w:rFonts w:ascii="Times New Roman" w:hAnsi="Times New Roman"/>
          <w:b w:val="0"/>
          <w:i w:val="0"/>
          <w:sz w:val="24"/>
        </w:rPr>
        <w:t>The sustainability half supplied the test. Tran's position was that a corporate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Question 3 meets the same standard from the other side: Denmark's position on ICT waste recovery is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that validation at USD 10,000 to 25,000, which in practice restricts it to large corporations, and described publicly funded programmes extending equivalent capability to smaller firms. That is the same instrument, and the same justification, as SMV:Digital. A fixed cost of proving anything, emissions or returns, is heavier the smaller the firm bearing it.</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E-government activities of individuals via websites, dataset isoc_ciegi_ac, Eurostat,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2025c,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2025d,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 and e-sales as a share of enterprise turnover (Eurostat 2025d).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