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jc w:val="center"/>
      </w:pPr>
      <w:r>
        <w:rPr>
          <w:rFonts w:ascii="Times New Roman" w:hAnsi="Times New Roman"/>
          <w:b/>
          <w:i w:val="0"/>
          <w:sz w:val="32"/>
        </w:rPr>
        <w:t>Digital Policy and Innovation Report: Denmark</w:t>
      </w:r>
    </w:p>
    <w:p>
      <w:pPr>
        <w:spacing w:before="0" w:after="40"/>
        <w:jc w:val="center"/>
      </w:pPr>
      <w:r>
        <w:rPr>
          <w:rFonts w:ascii="Times New Roman" w:hAnsi="Times New Roman"/>
          <w:b w:val="0"/>
          <w:i w:val="0"/>
          <w:sz w:val="22"/>
        </w:rPr>
        <w:t>ECON1596/ECON1597 Assessment 2 | s4040040 | Class group: [CLASS GROUP]</w:t>
      </w:r>
    </w:p>
    <w:p>
      <w:pPr>
        <w:spacing w:before="0" w:after="40"/>
        <w:jc w:val="center"/>
      </w:pPr>
      <w:r>
        <w:rPr>
          <w:rFonts w:ascii="Times New Roman" w:hAnsi="Times New Roman"/>
          <w:b w:val="0"/>
          <w:i w:val="0"/>
          <w:sz w:val="22"/>
        </w:rPr>
        <w:t>Submitted 17 September 2026</w:t>
      </w:r>
    </w:p>
    <w:p>
      <w:pPr>
        <w:spacing w:before="0" w:after="40"/>
        <w:jc w:val="center"/>
      </w:pPr>
      <w:r>
        <w:rPr>
          <w:rFonts w:ascii="Times New Roman" w:hAnsi="Times New Roman"/>
          <w:b w:val="0"/>
          <w:i w:val="0"/>
          <w:sz w:val="22"/>
        </w:rPr>
        <w:t>Accompanying data file: ECON1596_A2_Denmark_DataWorkbook_s4040040.xlsx</w:t>
      </w:r>
    </w:p>
    <w:p>
      <w:pPr>
        <w:spacing w:before="0" w:after="0"/>
        <w:jc w:val="both"/>
      </w:pPr>
      <w:r>
        <w:rPr>
          <w:rFonts w:ascii="Times New Roman" w:hAnsi="Times New Roman"/>
          <w:b w:val="0"/>
          <w:i w:val="0"/>
          <w:sz w:val="12"/>
        </w:rPr>
      </w:r>
    </w:p>
    <w:p>
      <w:pPr>
        <w:spacing w:before="160" w:after="280"/>
        <w:ind w:left="567" w:right="567"/>
        <w:jc w:val="both"/>
      </w:pPr>
      <w:r>
        <w:rPr>
          <w:rFonts w:ascii="Times New Roman" w:hAnsi="Times New Roman"/>
          <w:b w:val="0"/>
          <w:i/>
          <w:sz w:val="24"/>
        </w:rPr>
        <w:t>Thesis. Danish digital adoption is near-universal among citizens and thin among firms and at the edges of the population, and the instrument that delivered the universal part, legal compulsion, is why the rest is missing.</w:t>
      </w:r>
    </w:p>
    <w:p>
      <w:pPr>
        <w:spacing w:before="240" w:after="120"/>
        <w:jc w:val="left"/>
      </w:pPr>
      <w:r>
        <w:rPr>
          <w:rFonts w:ascii="Times New Roman" w:hAnsi="Times New Roman"/>
          <w:b/>
          <w:i w:val="0"/>
          <w:sz w:val="26"/>
        </w:rPr>
        <w:t>1. The instrument and what it was meant to buy</w:t>
      </w:r>
    </w:p>
    <w:p>
      <w:pPr>
        <w:spacing w:before="0" w:after="120"/>
        <w:jc w:val="both"/>
      </w:pPr>
      <w:r>
        <w:rPr>
          <w:rFonts w:ascii="Times New Roman" w:hAnsi="Times New Roman"/>
          <w:b w:val="0"/>
          <w:i w:val="0"/>
          <w:sz w:val="24"/>
        </w:rPr>
        <w:t>Denmark did not persuade its citizens to adopt digital public services; it required them to do so. *Lov om Offentlig Digital Post* (Denmark 2012) established a state-run digital mailbox as the default legal channel for public correspondence, binding businesses from 2013 and every citizen aged 15 and over from 1 November 2014. Enrolment is automatic, and §10 deems delivery effective when a message becomes available rather than when it is read, placing the consequence of non-engagement on the recipient. Exemption is available only against the statutory criteria in Table 1.</w:t>
      </w:r>
    </w:p>
    <w:p>
      <w:pPr>
        <w:spacing w:before="0" w:after="120"/>
        <w:jc w:val="both"/>
      </w:pPr>
      <w:r>
        <w:rPr>
          <w:rFonts w:ascii="Times New Roman" w:hAnsi="Times New Roman"/>
          <w:b w:val="0"/>
          <w:i w:val="0"/>
          <w:sz w:val="24"/>
        </w:rPr>
        <w:t>The mandate was implemented alongside a single national identity credential. Digitaliseringsstyrelsen (2025a) records that NemID was replaced by MitID from October 2021 and withdrawn on 31 October 2023. The combination is central to the design. A mandate alone changes only how letters are sent, whereas a mandate plus a universal credential establishes shared authentication infrastructure that every citizen must hold and any firm may build upon without financing its adoption. This lowers the fixed cost of services developed on it.</w:t>
      </w:r>
    </w:p>
    <w:p>
      <w:pPr>
        <w:spacing w:before="0" w:after="120"/>
        <w:jc w:val="both"/>
      </w:pPr>
      <w:r>
        <w:rPr>
          <w:rFonts w:ascii="Times New Roman" w:hAnsi="Times New Roman"/>
          <w:b w:val="0"/>
          <w:i w:val="0"/>
          <w:sz w:val="24"/>
        </w:rPr>
        <w:t>Compulsion is also why the adoption statistics below require careful interpretation: after 1 November 2014, enrolment measures compliance with a legal obligation rather than revealed demand, and that distinction governs the analysis throughout.</w:t>
      </w:r>
    </w:p>
    <w:p>
      <w:pPr>
        <w:spacing w:before="0" w:after="120"/>
        <w:jc w:val="both"/>
      </w:pPr>
      <w:r>
        <w:rPr>
          <w:rFonts w:ascii="Times New Roman" w:hAnsi="Times New Roman"/>
          <w:b w:val="0"/>
          <w:i w:val="0"/>
          <w:sz w:val="24"/>
        </w:rPr>
        <w:t>The programme was justified on a projected saving. According to Rigsrevisionen (2016), the Ministry of Finance business case anticipated approximately DKK 1,000 million a year, the return that warranted compelling the entire adult population of about 5.1 million (Digitaliseringsstyrelsen 2026). Section 6 examines how much survived audit.</w:t>
      </w:r>
    </w:p>
    <w:p>
      <w:pPr>
        <w:spacing w:before="160" w:after="80" w:line="240" w:lineRule="auto"/>
        <w:jc w:val="left"/>
      </w:pPr>
      <w:r>
        <w:rPr>
          <w:rFonts w:ascii="Times New Roman" w:hAnsi="Times New Roman"/>
          <w:b/>
          <w:i w:val="0"/>
          <w:sz w:val="20"/>
        </w:rPr>
        <w:t>Table 1. The instruments this report turns on. Full timeline in workbook sheet 09_POLICY.</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pPr>
              <w:spacing w:line="240" w:lineRule="auto" w:after="40"/>
            </w:pPr>
            <w:r>
              <w:rPr>
                <w:rFonts w:ascii="Times New Roman" w:hAnsi="Times New Roman"/>
                <w:b/>
                <w:sz w:val="20"/>
              </w:rPr>
              <w:t>Date</w:t>
            </w:r>
          </w:p>
        </w:tc>
        <w:tc>
          <w:tcPr>
            <w:tcW w:type="dxa" w:w="3120"/>
          </w:tcPr>
          <w:p>
            <w:pPr>
              <w:spacing w:line="240" w:lineRule="auto" w:after="40"/>
            </w:pPr>
            <w:r>
              <w:rPr>
                <w:rFonts w:ascii="Times New Roman" w:hAnsi="Times New Roman"/>
                <w:b/>
                <w:sz w:val="20"/>
              </w:rPr>
              <w:t>Instrument</w:t>
            </w:r>
          </w:p>
        </w:tc>
        <w:tc>
          <w:tcPr>
            <w:tcW w:type="dxa" w:w="3120"/>
          </w:tcPr>
          <w:p>
            <w:pPr>
              <w:spacing w:line="240" w:lineRule="auto" w:after="40"/>
            </w:pPr>
            <w:r>
              <w:rPr>
                <w:rFonts w:ascii="Times New Roman" w:hAnsi="Times New Roman"/>
                <w:b/>
                <w:sz w:val="20"/>
              </w:rPr>
              <w:t>What it did</w:t>
            </w:r>
          </w:p>
        </w:tc>
      </w:tr>
      <w:tr>
        <w:tc>
          <w:tcPr>
            <w:tcW w:type="dxa" w:w="3120"/>
          </w:tcPr>
          <w:p>
            <w:pPr>
              <w:spacing w:line="240" w:lineRule="auto" w:after="40"/>
            </w:pPr>
            <w:r>
              <w:rPr>
                <w:rFonts w:ascii="Times New Roman" w:hAnsi="Times New Roman"/>
                <w:sz w:val="20"/>
              </w:rPr>
              <w:t>2012-06-11</w:t>
            </w:r>
          </w:p>
        </w:tc>
        <w:tc>
          <w:tcPr>
            <w:tcW w:type="dxa" w:w="3120"/>
          </w:tcPr>
          <w:p>
            <w:pPr>
              <w:spacing w:line="240" w:lineRule="auto" w:after="40"/>
            </w:pPr>
            <w:r>
              <w:rPr>
                <w:rFonts w:ascii="Times New Roman" w:hAnsi="Times New Roman"/>
                <w:sz w:val="20"/>
              </w:rPr>
              <w:t>LOV nr 528 af 11/06/2012</w:t>
            </w:r>
          </w:p>
        </w:tc>
        <w:tc>
          <w:tcPr>
            <w:tcW w:type="dxa" w:w="3120"/>
          </w:tcPr>
          <w:p>
            <w:pPr>
              <w:spacing w:line="240" w:lineRule="auto" w:after="40"/>
            </w:pPr>
            <w:r>
              <w:rPr>
                <w:rFonts w:ascii="Times New Roman" w:hAnsi="Times New Roman"/>
                <w:sz w:val="20"/>
              </w:rPr>
              <w:t>Lov om Offentlig Digital Post adopted</w:t>
            </w:r>
          </w:p>
        </w:tc>
      </w:tr>
      <w:tr>
        <w:tc>
          <w:tcPr>
            <w:tcW w:type="dxa" w:w="3120"/>
          </w:tcPr>
          <w:p>
            <w:pPr>
              <w:spacing w:line="240" w:lineRule="auto" w:after="40"/>
            </w:pPr>
            <w:r>
              <w:rPr>
                <w:rFonts w:ascii="Times New Roman" w:hAnsi="Times New Roman"/>
                <w:sz w:val="20"/>
              </w:rPr>
              <w:t>2014-11-01</w:t>
            </w:r>
          </w:p>
        </w:tc>
        <w:tc>
          <w:tcPr>
            <w:tcW w:type="dxa" w:w="3120"/>
          </w:tcPr>
          <w:p>
            <w:pPr>
              <w:spacing w:line="240" w:lineRule="auto" w:after="40"/>
            </w:pPr>
            <w:r>
              <w:rPr>
                <w:rFonts w:ascii="Times New Roman" w:hAnsi="Times New Roman"/>
                <w:sz w:val="20"/>
              </w:rPr>
              <w:t>Lov om Offentlig Digital Post</w:t>
            </w:r>
          </w:p>
        </w:tc>
        <w:tc>
          <w:tcPr>
            <w:tcW w:type="dxa" w:w="3120"/>
          </w:tcPr>
          <w:p>
            <w:pPr>
              <w:spacing w:line="240" w:lineRule="auto" w:after="40"/>
            </w:pPr>
            <w:r>
              <w:rPr>
                <w:rFonts w:ascii="Times New Roman" w:hAnsi="Times New Roman"/>
                <w:sz w:val="20"/>
              </w:rPr>
              <w:t>Digital Post becomes mandatory for citizens aged 15+</w:t>
            </w:r>
          </w:p>
        </w:tc>
      </w:tr>
      <w:tr>
        <w:tc>
          <w:tcPr>
            <w:tcW w:type="dxa" w:w="3120"/>
          </w:tcPr>
          <w:p>
            <w:pPr>
              <w:spacing w:line="240" w:lineRule="auto" w:after="40"/>
            </w:pPr>
            <w:r>
              <w:rPr>
                <w:rFonts w:ascii="Times New Roman" w:hAnsi="Times New Roman"/>
                <w:sz w:val="20"/>
              </w:rPr>
              <w:t>2022-07-01</w:t>
            </w:r>
          </w:p>
        </w:tc>
        <w:tc>
          <w:tcPr>
            <w:tcW w:type="dxa" w:w="3120"/>
          </w:tcPr>
          <w:p>
            <w:pPr>
              <w:spacing w:line="240" w:lineRule="auto" w:after="40"/>
            </w:pPr>
            <w:r>
              <w:rPr>
                <w:rFonts w:ascii="Times New Roman" w:hAnsi="Times New Roman"/>
                <w:sz w:val="20"/>
              </w:rPr>
              <w:t>Lov om betalinger, § 81</w:t>
            </w:r>
          </w:p>
        </w:tc>
        <w:tc>
          <w:tcPr>
            <w:tcW w:type="dxa" w:w="3120"/>
          </w:tcPr>
          <w:p>
            <w:pPr>
              <w:spacing w:line="240" w:lineRule="auto" w:after="40"/>
            </w:pPr>
            <w:r>
              <w:rPr>
                <w:rFonts w:ascii="Times New Roman" w:hAnsi="Times New Roman"/>
                <w:sz w:val="20"/>
              </w:rPr>
              <w:t>Kontantreglen amended</w:t>
            </w:r>
          </w:p>
        </w:tc>
      </w:tr>
      <w:tr>
        <w:tc>
          <w:tcPr>
            <w:tcW w:type="dxa" w:w="3120"/>
          </w:tcPr>
          <w:p>
            <w:pPr>
              <w:spacing w:line="240" w:lineRule="auto" w:after="40"/>
            </w:pPr>
            <w:r>
              <w:rPr>
                <w:rFonts w:ascii="Times New Roman" w:hAnsi="Times New Roman"/>
                <w:sz w:val="20"/>
              </w:rPr>
              <w:t>2023-10-31</w:t>
            </w:r>
          </w:p>
        </w:tc>
        <w:tc>
          <w:tcPr>
            <w:tcW w:type="dxa" w:w="3120"/>
          </w:tcPr>
          <w:p>
            <w:pPr>
              <w:spacing w:line="240" w:lineRule="auto" w:after="40"/>
            </w:pPr>
            <w:r>
              <w:rPr>
                <w:rFonts w:ascii="Times New Roman" w:hAnsi="Times New Roman"/>
                <w:sz w:val="20"/>
              </w:rPr>
              <w:t>National electronic ID replacement programme</w:t>
            </w:r>
          </w:p>
        </w:tc>
        <w:tc>
          <w:tcPr>
            <w:tcW w:type="dxa" w:w="3120"/>
          </w:tcPr>
          <w:p>
            <w:pPr>
              <w:spacing w:line="240" w:lineRule="auto" w:after="40"/>
            </w:pPr>
            <w:r>
              <w:rPr>
                <w:rFonts w:ascii="Times New Roman" w:hAnsi="Times New Roman"/>
                <w:sz w:val="20"/>
              </w:rPr>
              <w:t>NemID fully phased out</w:t>
            </w:r>
          </w:p>
        </w:tc>
      </w:tr>
    </w:tbl>
    <w:p>
      <w:pPr>
        <w:spacing w:before="0" w:after="0"/>
        <w:jc w:val="both"/>
      </w:pPr>
      <w:r>
        <w:rPr>
          <w:rFonts w:ascii="Times New Roman" w:hAnsi="Times New Roman"/>
          <w:b w:val="0"/>
          <w:i w:val="0"/>
          <w:sz w:val="12"/>
        </w:rPr>
      </w:r>
    </w:p>
    <w:p>
      <w:pPr>
        <w:spacing w:before="240" w:after="120"/>
        <w:jc w:val="left"/>
      </w:pPr>
      <w:r>
        <w:rPr>
          <w:rFonts w:ascii="Times New Roman" w:hAnsi="Times New Roman"/>
          <w:b/>
          <w:i w:val="0"/>
          <w:sz w:val="26"/>
        </w:rPr>
        <w:t>2. Adoption and economic effect</w:t>
      </w:r>
    </w:p>
    <w:p>
      <w:pPr>
        <w:spacing w:before="0" w:after="120"/>
        <w:jc w:val="both"/>
      </w:pPr>
      <w:r>
        <w:rPr>
          <w:rFonts w:ascii="Times New Roman" w:hAnsi="Times New Roman"/>
          <w:b w:val="0"/>
          <w:i w:val="0"/>
          <w:sz w:val="24"/>
        </w:rPr>
        <w:t>Because compulsion accounts for citizens' use, the economic value of this infrastructure lies in what others built upon it. Finans Danmark (2025) reports that Danish retail bank branches fell from 2,025 in 2004 to 665 in 2024, a decline of 67.2% (Figure 1). That alone might suggest digitalisation eliminated banking employment, but the longer series qualifies it. Between 1991 and 2024 the number of financial institutions fell by 76.7%, from 219 to 51, while bank employment fell by only 29.4%, from roughly 51,000 to 36,000 (Figure 2). Staff per surviving institution therefore rose from 233 to 706, an increase of 203%, indicating that consolidation concentrated the sector rather than reducing it. The three changes span different observation windows and must not be differenced.</w:t>
      </w:r>
    </w:p>
    <w:p>
      <w:pPr>
        <w:spacing w:before="0" w:after="120"/>
        <w:jc w:val="both"/>
      </w:pPr>
      <w:r>
        <w:rPr>
          <w:rFonts w:ascii="Times New Roman" w:hAnsi="Times New Roman"/>
          <w:b w:val="0"/>
          <w:i w:val="0"/>
          <w:sz w:val="24"/>
        </w:rPr>
        <w:t>Payment behaviour moved in the same direction. Danmarks Nationalbank (2025) reports that cash fell from 23% to 9% of the *number* of payments in physical retail between 2017 and 2025, while card-based mobile wallets reached 32% of the same measure. Much of this is displacement within digital instruments, because wallet payments are card payments and the physical card share fell from 73% to 54%. What replaced cash was largely a new interface onto existing card infrastructure, the kind of development shared infrastructure makes inexpensive. Cash acceptance nonetheless remains a statutory obligation under *lov om betalinger* §81 (Finanstilsynet 2025).</w:t>
      </w:r>
    </w:p>
    <w:p>
      <w:pPr>
        <w:spacing w:before="0" w:after="120"/>
        <w:jc w:val="both"/>
      </w:pPr>
      <w:r>
        <w:rPr>
          <w:rFonts w:ascii="Times New Roman" w:hAnsi="Times New Roman"/>
          <w:b w:val="0"/>
          <w:i w:val="0"/>
          <w:sz w:val="24"/>
        </w:rPr>
        <w:t>The question that follows is whether wider consumer adoption is associated with greater commercial activity. Using data from Eurostat (2026), Figure 3 plots the share of internet users purchasing online against enterprise e-sales turnover across the European Union in 2024, the turnover measure from a separate extract (Eurostat 2025c). Across the 18 states reporting both, the fitted slope is +0.602 percentage points of turnover per percentage point of adoption, with a standard error of 0.105 and an R² of 0.674.</w:t>
      </w:r>
    </w:p>
    <w:p>
      <w:pPr>
        <w:spacing w:before="0" w:after="120"/>
        <w:jc w:val="both"/>
      </w:pPr>
      <w:r>
        <w:rPr>
          <w:rFonts w:ascii="Times New Roman" w:hAnsi="Times New Roman"/>
          <w:b w:val="0"/>
          <w:i w:val="0"/>
          <w:sz w:val="24"/>
        </w:rPr>
        <w:t>Appendix C reports the diagnostics, including a comparison with an earlier version drawn from a Eurostat news release (Eurostat 2025a) that named only the ends of the distribution and produced a slope 8% different, which measures selection bias rather than asserting it.</w:t>
      </w:r>
    </w:p>
    <w:p>
      <w:pPr>
        <w:spacing w:before="0" w:after="120"/>
        <w:jc w:val="both"/>
      </w:pPr>
      <w:r>
        <w:rPr>
          <w:rFonts w:ascii="Times New Roman" w:hAnsi="Times New Roman"/>
          <w:b w:val="0"/>
          <w:i w:val="0"/>
          <w:sz w:val="24"/>
        </w:rPr>
        <w:t>Causation is not established by this design. Adoption is measured on consumers and turnover on enterprises, and both plausibly rise with national income, which appears on neither axis. Denmark sits above the fitted line by less than one residual standard error and behind three other states, consistent with the European pattern rather than exceptional to it.</w:t>
      </w:r>
    </w:p>
    <w:p>
      <w:pPr>
        <w:spacing w:before="160" w:after="40"/>
        <w:jc w:val="center"/>
      </w:pPr>
      <w:r>
        <w:drawing>
          <wp:inline xmlns:a="http://schemas.openxmlformats.org/drawingml/2006/main" xmlns:pic="http://schemas.openxmlformats.org/drawingml/2006/picture">
            <wp:extent cx="5760000" cy="3236110"/>
            <wp:docPr id="1" name="Picture 1"/>
            <wp:cNvGraphicFramePr>
              <a:graphicFrameLocks noChangeAspect="1"/>
            </wp:cNvGraphicFramePr>
            <a:graphic>
              <a:graphicData uri="http://schemas.openxmlformats.org/drawingml/2006/picture">
                <pic:pic>
                  <pic:nvPicPr>
                    <pic:cNvPr id="0" name="fig1_branches.png"/>
                    <pic:cNvPicPr/>
                  </pic:nvPicPr>
                  <pic:blipFill>
                    <a:blip r:embed="rId10"/>
                    <a:stretch>
                      <a:fillRect/>
                    </a:stretch>
                  </pic:blipFill>
                  <pic:spPr>
                    <a:xfrm>
                      <a:off x="0" y="0"/>
                      <a:ext cx="5760000" cy="3236110"/>
                    </a:xfrm>
                    <a:prstGeom prst="rect"/>
                  </pic:spPr>
                </pic:pic>
              </a:graphicData>
            </a:graphic>
          </wp:inline>
        </w:drawing>
      </w:r>
    </w:p>
    <w:p>
      <w:pPr>
        <w:spacing w:before="0" w:after="200" w:line="240" w:lineRule="auto"/>
        <w:jc w:val="center"/>
      </w:pPr>
      <w:r>
        <w:rPr>
          <w:rFonts w:ascii="Times New Roman" w:hAnsi="Times New Roman"/>
          <w:b w:val="0"/>
          <w:i/>
          <w:sz w:val="20"/>
        </w:rPr>
        <w:t>Figure 1. Danish retail bank branches, 2004-2024. Finans Danmark; workbook F1_BRANCHES.</w:t>
      </w:r>
    </w:p>
    <w:p>
      <w:pPr>
        <w:spacing w:before="160" w:after="40"/>
        <w:jc w:val="center"/>
      </w:pPr>
      <w:r>
        <w:drawing>
          <wp:inline xmlns:a="http://schemas.openxmlformats.org/drawingml/2006/main" xmlns:pic="http://schemas.openxmlformats.org/drawingml/2006/picture">
            <wp:extent cx="5760000" cy="2920388"/>
            <wp:docPr id="2" name="Picture 2"/>
            <wp:cNvGraphicFramePr>
              <a:graphicFrameLocks noChangeAspect="1"/>
            </wp:cNvGraphicFramePr>
            <a:graphic>
              <a:graphicData uri="http://schemas.openxmlformats.org/drawingml/2006/picture">
                <pic:pic>
                  <pic:nvPicPr>
                    <pic:cNvPr id="0" name="fig2_consolidation.png"/>
                    <pic:cNvPicPr/>
                  </pic:nvPicPr>
                  <pic:blipFill>
                    <a:blip r:embed="rId11"/>
                    <a:stretch>
                      <a:fillRect/>
                    </a:stretch>
                  </pic:blipFill>
                  <pic:spPr>
                    <a:xfrm>
                      <a:off x="0" y="0"/>
                      <a:ext cx="5760000" cy="2920388"/>
                    </a:xfrm>
                    <a:prstGeom prst="rect"/>
                  </pic:spPr>
                </pic:pic>
              </a:graphicData>
            </a:graphic>
          </wp:inline>
        </w:drawing>
      </w:r>
    </w:p>
    <w:p>
      <w:pPr>
        <w:spacing w:before="0" w:after="200" w:line="240" w:lineRule="auto"/>
        <w:jc w:val="center"/>
      </w:pPr>
      <w:r>
        <w:rPr>
          <w:rFonts w:ascii="Times New Roman" w:hAnsi="Times New Roman"/>
          <w:b w:val="0"/>
          <w:i/>
          <w:sz w:val="20"/>
        </w:rPr>
        <w:t>Figure 2. Danish banking consolidation: institutions, branches, employment; differing base years. Finans Danmark; workbook F9.</w:t>
      </w:r>
    </w:p>
    <w:p>
      <w:pPr>
        <w:spacing w:before="160" w:after="40"/>
        <w:jc w:val="center"/>
      </w:pPr>
      <w:r>
        <w:drawing>
          <wp:inline xmlns:a="http://schemas.openxmlformats.org/drawingml/2006/main" xmlns:pic="http://schemas.openxmlformats.org/drawingml/2006/picture">
            <wp:extent cx="5760000" cy="3923066"/>
            <wp:docPr id="3" name="Picture 3"/>
            <wp:cNvGraphicFramePr>
              <a:graphicFrameLocks noChangeAspect="1"/>
            </wp:cNvGraphicFramePr>
            <a:graphic>
              <a:graphicData uri="http://schemas.openxmlformats.org/drawingml/2006/picture">
                <pic:pic>
                  <pic:nvPicPr>
                    <pic:cNvPr id="0" name="fig3_regression.png"/>
                    <pic:cNvPicPr/>
                  </pic:nvPicPr>
                  <pic:blipFill>
                    <a:blip r:embed="rId12"/>
                    <a:stretch>
                      <a:fillRect/>
                    </a:stretch>
                  </pic:blipFill>
                  <pic:spPr>
                    <a:xfrm>
                      <a:off x="0" y="0"/>
                      <a:ext cx="5760000" cy="3923066"/>
                    </a:xfrm>
                    <a:prstGeom prst="rect"/>
                  </pic:spPr>
                </pic:pic>
              </a:graphicData>
            </a:graphic>
          </wp:inline>
        </w:drawing>
      </w:r>
    </w:p>
    <w:p>
      <w:pPr>
        <w:spacing w:before="0" w:after="200" w:line="240" w:lineRule="auto"/>
        <w:jc w:val="center"/>
      </w:pPr>
      <w:r>
        <w:rPr>
          <w:rFonts w:ascii="Times New Roman" w:hAnsi="Times New Roman"/>
          <w:b w:val="0"/>
          <w:i/>
          <w:sz w:val="20"/>
        </w:rPr>
        <w:t>Figure 3. Consumer adoption and enterprise e-commerce turnover, EU 2024. Eurostat; workbook F6.</w:t>
      </w:r>
    </w:p>
    <w:p>
      <w:pPr>
        <w:spacing w:before="240" w:after="120"/>
        <w:jc w:val="left"/>
      </w:pPr>
      <w:r>
        <w:rPr>
          <w:rFonts w:ascii="Times New Roman" w:hAnsi="Times New Roman"/>
          <w:b/>
          <w:i w:val="0"/>
          <w:sz w:val="26"/>
        </w:rPr>
        <w:t>3. Diffusion: Denmark against the European Union</w:t>
      </w:r>
    </w:p>
    <w:p>
      <w:pPr>
        <w:spacing w:before="0" w:after="120"/>
        <w:jc w:val="both"/>
      </w:pPr>
      <w:r>
        <w:rPr>
          <w:rFonts w:ascii="Times New Roman" w:hAnsi="Times New Roman"/>
          <w:b w:val="0"/>
          <w:i w:val="0"/>
          <w:sz w:val="24"/>
        </w:rPr>
        <w:t>"Breadth" has two distinct subjects in the Danish case, and they point in opposite directions. Breadth among citizens is close to complete: Eurostat (2026) records that 90.86% of Danish internet users bought online in 2024, third of the twenty-seven member states. Breadth among enterprises is not. Only 38.78% of Danish enterprises make any e-sales, second in the Union behind Lithuania at 43.03% and still under two firms in five (Eurostat 2025b). Denmark leads Europe at a level most Danish firms have not reached.</w:t>
      </w:r>
    </w:p>
    <w:p>
      <w:pPr>
        <w:spacing w:before="0" w:after="120"/>
        <w:jc w:val="both"/>
      </w:pPr>
      <w:r>
        <w:rPr>
          <w:rFonts w:ascii="Times New Roman" w:hAnsi="Times New Roman"/>
          <w:b w:val="0"/>
          <w:i w:val="0"/>
          <w:sz w:val="24"/>
        </w:rPr>
        <w:t>Intensity increased where breadth did not. E-sales rose from 17.05% of enterprise turnover in 2014 to 33.31% in 2024, against an EU-27 average moving from 16.43% to 19.49% (Figure 4). Both began at a similar level, after which Denmark roughly doubled and the EU gained three percentage points.</w:t>
      </w:r>
    </w:p>
    <w:p>
      <w:pPr>
        <w:spacing w:before="0" w:after="120"/>
        <w:jc w:val="both"/>
      </w:pPr>
      <w:r>
        <w:rPr>
          <w:rFonts w:ascii="Times New Roman" w:hAnsi="Times New Roman"/>
          <w:b w:val="0"/>
          <w:i w:val="0"/>
          <w:sz w:val="24"/>
        </w:rPr>
        <w:t>The same pattern governs the newest technology and identifies which firms were positioned to build on the infrastructure. The European Commission (2026) reports that in 2025, 42.03% of Danish enterprises used artificial intelligence, comprising 74.52% of large firms against 40.99% of SMEs, a gap of 33.53 percentage points (Figure 5). This is not a failure of connectivity or literacy, since 92.45% of Danish SMEs clear the basic digital-intensity threshold against an EU average of 71.39%. What they lack is the complementary capital, namely data, systems integration and specialist staff, that converts access into application, and that capital is distributed by firm size.</w:t>
      </w:r>
    </w:p>
    <w:p>
      <w:pPr>
        <w:spacing w:before="0" w:after="120"/>
        <w:jc w:val="both"/>
      </w:pPr>
      <w:r>
        <w:rPr>
          <w:rFonts w:ascii="Times New Roman" w:hAnsi="Times New Roman"/>
          <w:b w:val="0"/>
          <w:i w:val="0"/>
          <w:sz w:val="24"/>
        </w:rPr>
        <w:t>Denmark's binding constraint is therefore diffusion rather than adoption, which bears on Sustainable Development Goal 8, Target 8.2, on productivity growth through technological upgrading. The gain accrues to the firms already best placed to capture it, and the policy question is how to move it down the size distribution.</w:t>
      </w:r>
    </w:p>
    <w:p>
      <w:pPr>
        <w:spacing w:before="160" w:after="40"/>
        <w:jc w:val="center"/>
      </w:pPr>
      <w:r>
        <w:drawing>
          <wp:inline xmlns:a="http://schemas.openxmlformats.org/drawingml/2006/main" xmlns:pic="http://schemas.openxmlformats.org/drawingml/2006/picture">
            <wp:extent cx="5760000" cy="3040198"/>
            <wp:docPr id="4" name="Picture 4"/>
            <wp:cNvGraphicFramePr>
              <a:graphicFrameLocks noChangeAspect="1"/>
            </wp:cNvGraphicFramePr>
            <a:graphic>
              <a:graphicData uri="http://schemas.openxmlformats.org/drawingml/2006/picture">
                <pic:pic>
                  <pic:nvPicPr>
                    <pic:cNvPr id="0" name="fig4_esales.png"/>
                    <pic:cNvPicPr/>
                  </pic:nvPicPr>
                  <pic:blipFill>
                    <a:blip r:embed="rId13"/>
                    <a:stretch>
                      <a:fillRect/>
                    </a:stretch>
                  </pic:blipFill>
                  <pic:spPr>
                    <a:xfrm>
                      <a:off x="0" y="0"/>
                      <a:ext cx="5760000" cy="3040198"/>
                    </a:xfrm>
                    <a:prstGeom prst="rect"/>
                  </pic:spPr>
                </pic:pic>
              </a:graphicData>
            </a:graphic>
          </wp:inline>
        </w:drawing>
      </w:r>
    </w:p>
    <w:p>
      <w:pPr>
        <w:spacing w:before="0" w:after="200" w:line="240" w:lineRule="auto"/>
        <w:jc w:val="center"/>
      </w:pPr>
      <w:r>
        <w:rPr>
          <w:rFonts w:ascii="Times New Roman" w:hAnsi="Times New Roman"/>
          <w:b w:val="0"/>
          <w:i/>
          <w:sz w:val="20"/>
        </w:rPr>
        <w:t>Figure 4. E-sales share of enterprise turnover, Denmark and EU-27, 2014 and 2024. Eurostat; workbook F3.</w:t>
      </w:r>
    </w:p>
    <w:p>
      <w:pPr>
        <w:spacing w:before="160" w:after="40"/>
        <w:jc w:val="center"/>
      </w:pPr>
      <w:r>
        <w:drawing>
          <wp:inline xmlns:a="http://schemas.openxmlformats.org/drawingml/2006/main" xmlns:pic="http://schemas.openxmlformats.org/drawingml/2006/picture">
            <wp:extent cx="5760000" cy="3250235"/>
            <wp:docPr id="5" name="Picture 5"/>
            <wp:cNvGraphicFramePr>
              <a:graphicFrameLocks noChangeAspect="1"/>
            </wp:cNvGraphicFramePr>
            <a:graphic>
              <a:graphicData uri="http://schemas.openxmlformats.org/drawingml/2006/picture">
                <pic:pic>
                  <pic:nvPicPr>
                    <pic:cNvPr id="0" name="fig5_ai_firmsize.png"/>
                    <pic:cNvPicPr/>
                  </pic:nvPicPr>
                  <pic:blipFill>
                    <a:blip r:embed="rId14"/>
                    <a:stretch>
                      <a:fillRect/>
                    </a:stretch>
                  </pic:blipFill>
                  <pic:spPr>
                    <a:xfrm>
                      <a:off x="0" y="0"/>
                      <a:ext cx="5760000" cy="3250235"/>
                    </a:xfrm>
                    <a:prstGeom prst="rect"/>
                  </pic:spPr>
                </pic:pic>
              </a:graphicData>
            </a:graphic>
          </wp:inline>
        </w:drawing>
      </w:r>
    </w:p>
    <w:p>
      <w:pPr>
        <w:spacing w:before="0" w:after="200" w:line="240" w:lineRule="auto"/>
        <w:jc w:val="center"/>
      </w:pPr>
      <w:r>
        <w:rPr>
          <w:rFonts w:ascii="Times New Roman" w:hAnsi="Times New Roman"/>
          <w:b w:val="0"/>
          <w:i/>
          <w:sz w:val="20"/>
        </w:rPr>
        <w:t>Figure 5. AI adoption by firm size, Denmark 2025. European Commission; workbook F7.</w:t>
      </w:r>
    </w:p>
    <w:p>
      <w:pPr>
        <w:spacing w:before="240" w:after="120"/>
        <w:jc w:val="left"/>
      </w:pPr>
      <w:r>
        <w:rPr>
          <w:rFonts w:ascii="Times New Roman" w:hAnsi="Times New Roman"/>
          <w:b/>
          <w:i w:val="0"/>
          <w:sz w:val="26"/>
        </w:rPr>
        <w:t>4. Who the mandate left behind</w:t>
      </w:r>
    </w:p>
    <w:p>
      <w:pPr>
        <w:spacing w:before="0" w:after="120"/>
        <w:jc w:val="both"/>
      </w:pPr>
      <w:r>
        <w:rPr>
          <w:rFonts w:ascii="Times New Roman" w:hAnsi="Times New Roman"/>
          <w:b w:val="0"/>
          <w:i w:val="0"/>
          <w:sz w:val="24"/>
        </w:rPr>
        <w:t>The mandate's effects are most pronounced among the oldest citizens. Digitaliseringsstyrelsen (2026) reports that 20% of Danish citizens aged 75 to 84 hold a formal exemption from Digital Post, rising to 33% among those 85 and over. One in three of the oldest cohort therefore sits outside a compulsory system. These are 2022 figures and the headline rate below is from 2026, so the two are complementary measures of the same exclusion rather than points on a trend.</w:t>
      </w:r>
    </w:p>
    <w:p>
      <w:pPr>
        <w:spacing w:before="0" w:after="120"/>
        <w:jc w:val="both"/>
      </w:pPr>
      <w:r>
        <w:rPr>
          <w:rFonts w:ascii="Times New Roman" w:hAnsi="Times New Roman"/>
          <w:b w:val="0"/>
          <w:i w:val="0"/>
          <w:sz w:val="24"/>
        </w:rPr>
        <w:t>Against that, the aggregate appears small: in the first quarter of 2026, 4.7% of citizens aged 15 and over, or 238,479 people, were exempt. It is small because the affected population is small, not because exclusion is rare where it occurs.</w:t>
      </w:r>
    </w:p>
    <w:p>
      <w:pPr>
        <w:spacing w:before="0" w:after="120"/>
        <w:jc w:val="both"/>
      </w:pPr>
      <w:r>
        <w:rPr>
          <w:rFonts w:ascii="Times New Roman" w:hAnsi="Times New Roman"/>
          <w:b w:val="0"/>
          <w:i w:val="0"/>
          <w:sz w:val="24"/>
        </w:rPr>
        <w:t>Exemption is also the narrowest available measure. Figure 6 sets it against four wider estimates, not comparable because measure, year and denominator all differ; Appendix D reconciles them. The European Commission (2026) reports that 6.5% of Danes do not use digital public services and 16.5% report difficulty using them, while Digitaliseringsstyrelsen (2025c) and Justitia (2022) put the widest estimates at about a quarter of adults. The counts are clearer than the percentages: exemption reaches 238,479 people, while 16.5% of 6,025,603 (Danmarks Statistik 2026) is roughly 994,000, the lowest credible estimate of need. On the order of 750,000 Danes therefore struggle with a compulsory system while holding no formal standing outside it.</w:t>
      </w:r>
    </w:p>
    <w:p>
      <w:pPr>
        <w:spacing w:before="0" w:after="120"/>
        <w:jc w:val="both"/>
      </w:pPr>
      <w:r>
        <w:rPr>
          <w:rFonts w:ascii="Times New Roman" w:hAnsi="Times New Roman"/>
          <w:b w:val="0"/>
          <w:i w:val="0"/>
          <w:sz w:val="24"/>
        </w:rPr>
        <w:t>Weak digital skills would be the convenient explanation, but the data do not support it. Denmark's weakest age band, those aged 55 to 74, reaches 67.81% with at least basic digital skills against an EU average of 42.60%, and Denmark leads the Union in all three bands (Figure 7).</w:t>
      </w:r>
    </w:p>
    <w:p>
      <w:pPr>
        <w:spacing w:before="0" w:after="120"/>
        <w:jc w:val="both"/>
      </w:pPr>
      <w:r>
        <w:rPr>
          <w:rFonts w:ascii="Times New Roman" w:hAnsi="Times New Roman"/>
          <w:b w:val="0"/>
          <w:i w:val="0"/>
          <w:sz w:val="24"/>
        </w:rPr>
        <w:t>The exclusion is therefore administrative rather than a capability deficit. The mandate was calibrated above the bottom of its own distribution, and the exemption criteria were drawn more narrowly than the difficulty they relieve. Infrastructure that every citizen must use and a sixth of the population finds difficult is a universal obligation rather than a universal opportunity.</w:t>
      </w:r>
    </w:p>
    <w:p>
      <w:pPr>
        <w:spacing w:before="160" w:after="40"/>
        <w:jc w:val="center"/>
      </w:pPr>
      <w:r>
        <w:drawing>
          <wp:inline xmlns:a="http://schemas.openxmlformats.org/drawingml/2006/main" xmlns:pic="http://schemas.openxmlformats.org/drawingml/2006/picture">
            <wp:extent cx="5760000" cy="3228750"/>
            <wp:docPr id="6" name="Picture 6"/>
            <wp:cNvGraphicFramePr>
              <a:graphicFrameLocks noChangeAspect="1"/>
            </wp:cNvGraphicFramePr>
            <a:graphic>
              <a:graphicData uri="http://schemas.openxmlformats.org/drawingml/2006/picture">
                <pic:pic>
                  <pic:nvPicPr>
                    <pic:cNvPr id="0" name="fig6_exclusion.png"/>
                    <pic:cNvPicPr/>
                  </pic:nvPicPr>
                  <pic:blipFill>
                    <a:blip r:embed="rId15"/>
                    <a:stretch>
                      <a:fillRect/>
                    </a:stretch>
                  </pic:blipFill>
                  <pic:spPr>
                    <a:xfrm>
                      <a:off x="0" y="0"/>
                      <a:ext cx="5760000" cy="3228750"/>
                    </a:xfrm>
                    <a:prstGeom prst="rect"/>
                  </pic:spPr>
                </pic:pic>
              </a:graphicData>
            </a:graphic>
          </wp:inline>
        </w:drawing>
      </w:r>
    </w:p>
    <w:p>
      <w:pPr>
        <w:spacing w:before="0" w:after="200" w:line="240" w:lineRule="auto"/>
        <w:jc w:val="center"/>
      </w:pPr>
      <w:r>
        <w:rPr>
          <w:rFonts w:ascii="Times New Roman" w:hAnsi="Times New Roman"/>
          <w:b w:val="0"/>
          <w:i/>
          <w:sz w:val="20"/>
        </w:rPr>
        <w:t>Figure 6. Five estimates of Danish digital exclusion; denominators and years differ. Workbook F4.</w:t>
      </w:r>
    </w:p>
    <w:p>
      <w:pPr>
        <w:spacing w:before="160" w:after="40"/>
        <w:jc w:val="center"/>
      </w:pPr>
      <w:r>
        <w:drawing>
          <wp:inline xmlns:a="http://schemas.openxmlformats.org/drawingml/2006/main" xmlns:pic="http://schemas.openxmlformats.org/drawingml/2006/picture">
            <wp:extent cx="5760000" cy="3388442"/>
            <wp:docPr id="7" name="Picture 7"/>
            <wp:cNvGraphicFramePr>
              <a:graphicFrameLocks noChangeAspect="1"/>
            </wp:cNvGraphicFramePr>
            <a:graphic>
              <a:graphicData uri="http://schemas.openxmlformats.org/drawingml/2006/picture">
                <pic:pic>
                  <pic:nvPicPr>
                    <pic:cNvPr id="0" name="fig7_skills.png"/>
                    <pic:cNvPicPr/>
                  </pic:nvPicPr>
                  <pic:blipFill>
                    <a:blip r:embed="rId16"/>
                    <a:stretch>
                      <a:fillRect/>
                    </a:stretch>
                  </pic:blipFill>
                  <pic:spPr>
                    <a:xfrm>
                      <a:off x="0" y="0"/>
                      <a:ext cx="5760000" cy="3388442"/>
                    </a:xfrm>
                    <a:prstGeom prst="rect"/>
                  </pic:spPr>
                </pic:pic>
              </a:graphicData>
            </a:graphic>
          </wp:inline>
        </w:drawing>
      </w:r>
    </w:p>
    <w:p>
      <w:pPr>
        <w:spacing w:before="0" w:after="200" w:line="240" w:lineRule="auto"/>
        <w:jc w:val="center"/>
      </w:pPr>
      <w:r>
        <w:rPr>
          <w:rFonts w:ascii="Times New Roman" w:hAnsi="Times New Roman"/>
          <w:b w:val="0"/>
          <w:i/>
          <w:sz w:val="20"/>
        </w:rPr>
        <w:t>Figure 7. Basic digital skills by age band, Denmark and EU-27, 2025. European Commission; workbook F10.</w:t>
      </w:r>
    </w:p>
    <w:p>
      <w:pPr>
        <w:spacing w:before="240" w:after="120"/>
        <w:jc w:val="left"/>
      </w:pPr>
      <w:r>
        <w:rPr>
          <w:rFonts w:ascii="Times New Roman" w:hAnsi="Times New Roman"/>
          <w:b/>
          <w:i w:val="0"/>
          <w:sz w:val="26"/>
        </w:rPr>
        <w:t>5. Evidence from the guest lecture</w:t>
      </w:r>
    </w:p>
    <w:p>
      <w:pPr>
        <w:spacing w:before="0" w:after="120"/>
        <w:jc w:val="both"/>
      </w:pPr>
      <w:r>
        <w:rPr>
          <w:rFonts w:ascii="Times New Roman" w:hAnsi="Times New Roman"/>
          <w:b w:val="0"/>
          <w:i w:val="0"/>
          <w:sz w:val="24"/>
        </w:rPr>
        <w:t>The guest lecture addressed corporate sustainability rather than digital government, but three of its claims bear directly on the argument made here.</w:t>
      </w:r>
    </w:p>
    <w:p>
      <w:pPr>
        <w:spacing w:before="0" w:after="120"/>
        <w:jc w:val="both"/>
      </w:pPr>
      <w:r>
        <w:rPr>
          <w:rFonts w:ascii="Times New Roman" w:hAnsi="Times New Roman"/>
          <w:b w:val="0"/>
          <w:i w:val="0"/>
          <w:sz w:val="24"/>
        </w:rPr>
        <w:t>Tran (2026) reported that in a PwC survey of Asia-Pacific chief executives, 82% had adopted generative artificial intelligence within five years, while far fewer could identify revenue attributable to it. That is the distinction this report has drawn throughout: adoption is observable, rapid and easily counted, and effect is none of those things.</w:t>
      </w:r>
    </w:p>
    <w:p>
      <w:pPr>
        <w:spacing w:before="0" w:after="120"/>
        <w:jc w:val="both"/>
      </w:pPr>
      <w:r>
        <w:rPr>
          <w:rFonts w:ascii="Times New Roman" w:hAnsi="Times New Roman"/>
          <w:b w:val="0"/>
          <w:i w:val="0"/>
          <w:sz w:val="24"/>
        </w:rPr>
        <w:t>Tran's test for whether a corporate net zero commitment is credible was whether an external body, the Science Based Targets initiative or an equivalent, has validated it, because an unvalidated commitment is one the claimant grades itself. The same objection applies to SMV:Digital, whose reported gains rest on participants surveyed by the body funding the scheme (Digitaliseringsstyrelsen 2025b), and it is why Appendix F proposes an evaluation independent of the administering agency.</w:t>
      </w:r>
    </w:p>
    <w:p>
      <w:pPr>
        <w:spacing w:before="0" w:after="120"/>
        <w:jc w:val="both"/>
      </w:pPr>
      <w:r>
        <w:rPr>
          <w:rFonts w:ascii="Times New Roman" w:hAnsi="Times New Roman"/>
          <w:b w:val="0"/>
          <w:i w:val="0"/>
          <w:sz w:val="24"/>
        </w:rPr>
        <w:t>Asked about smaller firms, Tran put the cost of that validation at USD 10,000 to 25,000, which in practice restricts it to large corporations, with free adapted toolkits available to everyone else. Denmark's diffusion gap has the same shape. Citizen adoption is close to complete, while fewer than two Danish firms in five make any e-sales, and a fixed compliance cost is heavier the smaller the firm bearing it.</w:t>
      </w:r>
    </w:p>
    <w:p>
      <w:pPr>
        <w:spacing w:before="0" w:after="120"/>
        <w:jc w:val="both"/>
      </w:pPr>
      <w:r>
        <w:rPr>
          <w:rFonts w:ascii="Times New Roman" w:hAnsi="Times New Roman"/>
          <w:b w:val="0"/>
          <w:i w:val="0"/>
          <w:sz w:val="24"/>
        </w:rPr>
        <w:t>The lecture therefore supports the direction of Section 6's recommendation while tightening its condition: a capability subsidy is worth extending only if its effect can be established by someone other than the body paying for it.</w:t>
      </w:r>
    </w:p>
    <w:p>
      <w:pPr>
        <w:spacing w:before="240" w:after="120"/>
        <w:jc w:val="left"/>
      </w:pPr>
      <w:r>
        <w:rPr>
          <w:rFonts w:ascii="Times New Roman" w:hAnsi="Times New Roman"/>
          <w:b/>
          <w:i w:val="0"/>
          <w:sz w:val="26"/>
        </w:rPr>
        <w:t>6. Recommendation and limitations</w:t>
      </w:r>
    </w:p>
    <w:p>
      <w:pPr>
        <w:spacing w:before="0" w:after="120"/>
        <w:jc w:val="both"/>
      </w:pPr>
      <w:r>
        <w:rPr>
          <w:rFonts w:ascii="Times New Roman" w:hAnsi="Times New Roman"/>
          <w:b w:val="0"/>
          <w:i w:val="0"/>
          <w:sz w:val="24"/>
        </w:rPr>
        <w:t>This report opened on a projected saving of roughly DKK 1,000 million a year. Of that, Rigsrevisionen (2016) could verify DKK 450 million in postage, paper and envelopes. The wage and overhead component was never substantiated, and the study intended to settle the question was abandoned when the municipalities declined to take part. Denmark compels its adult population on the basis of a business case that remains 55% unaudited.</w:t>
      </w:r>
    </w:p>
    <w:p>
      <w:pPr>
        <w:spacing w:before="0" w:after="120"/>
        <w:jc w:val="both"/>
      </w:pPr>
      <w:r>
        <w:rPr>
          <w:rFonts w:ascii="Times New Roman" w:hAnsi="Times New Roman"/>
          <w:b w:val="0"/>
          <w:i w:val="0"/>
          <w:sz w:val="24"/>
        </w:rPr>
        <w:t>Two measures follow. First, the exemption criteria in *Lov om Offentlig Digital Post* should be widened to admit documented difficulty. Denmark has already addressed the adjacent problem, since Folketinget (2023) provided that from June 2023 an exempt citizen is entitled, on request, to a non-digital alternative to any mandatory self-service solution. That reform decoupled the channel from the obligation but left the qualifying criteria untouched, because the right runs only to those already exempt. Section 4 measured the gap: roughly three-quarters of a million people report the difficulty the 2023 Act relieves and cannot obtain it. The Conseil d'État (2022) and the Belgian Cour constitutionnelle (2025) have since attached the entitlement to the difficulty rather than to a prior status (Appendix G).</w:t>
      </w:r>
    </w:p>
    <w:p>
      <w:pPr>
        <w:spacing w:before="0" w:after="120"/>
        <w:jc w:val="both"/>
      </w:pPr>
      <w:r>
        <w:rPr>
          <w:rFonts w:ascii="Times New Roman" w:hAnsi="Times New Roman"/>
          <w:b w:val="0"/>
          <w:i w:val="0"/>
          <w:sz w:val="24"/>
        </w:rPr>
        <w:t>Second, SMV:Digital should be redirected toward the complementary capability, specifically data integration and specialist skills, that Section 3 identified as the binding constraint. Its effect is better evidenced than that of most comparable programmes, since Digitaliseringsstyrelsen (2025b) matches recipients to comparable firms in the Danmarks Statistik registers and finds revenue growth five percentage points higher. Matching, however, addresses selection on what the registers record, namely sector, size, age and prior trajectory, not on what they do not. For a voluntary scheme that residual is the substantive problem, because a manager ambitious enough to apply is also ambitious enough to grow unaided. The next pool opens on 26 October 2026 (SMV:Digital 2026), and the scheme's eligibility scoring already produces a threshold capable of identifying the effect directly, as Appendix F specifies.</w:t>
      </w:r>
    </w:p>
    <w:p>
      <w:pPr>
        <w:spacing w:before="0" w:after="120"/>
        <w:jc w:val="both"/>
      </w:pPr>
      <w:r>
        <w:rPr>
          <w:rFonts w:ascii="Times New Roman" w:hAnsi="Times New Roman"/>
          <w:b w:val="0"/>
          <w:i w:val="0"/>
          <w:sz w:val="24"/>
        </w:rPr>
        <w:t>Both measures follow from a single reading of the evidence: Denmark built shared infrastructure and left the questions of who could use it, and who could build on it, to a capability it never distributed. The evidence has limits, set out in Appendices C to G; chief among them is that Section 2 establishes association, not cause.</w:t>
      </w:r>
    </w:p>
    <w:p>
      <w:r>
        <w:br w:type="page"/>
      </w:r>
    </w:p>
    <w:p>
      <w:pPr>
        <w:spacing w:before="0" w:after="160"/>
        <w:jc w:val="left"/>
      </w:pPr>
      <w:r>
        <w:rPr>
          <w:rFonts w:ascii="Times New Roman" w:hAnsi="Times New Roman"/>
          <w:b/>
          <w:i w:val="0"/>
          <w:sz w:val="26"/>
        </w:rPr>
        <w:t>References</w:t>
      </w:r>
    </w:p>
    <w:p>
      <w:pPr>
        <w:spacing w:before="0" w:after="160"/>
        <w:ind w:left="720" w:hanging="720"/>
        <w:jc w:val="left"/>
      </w:pPr>
      <w:r>
        <w:rPr>
          <w:rFonts w:ascii="Times New Roman" w:hAnsi="Times New Roman"/>
          <w:b w:val="0"/>
          <w:i w:val="0"/>
          <w:sz w:val="24"/>
        </w:rPr>
        <w:t>Bundesrechnungshof 2022, Bemerkungen 2022 zur Haushalts- und Wirtschaftsführung des Bundes, German Federal Court of Auditors, accessed 13 September 2026, &lt;https://www.bundesrechnungshof.de/SharedDocs/Pressemitteilungen/DE/2022/bemerkungen2022-hauptband.html&gt;.</w:t>
      </w:r>
    </w:p>
    <w:p>
      <w:pPr>
        <w:spacing w:before="0" w:after="160"/>
        <w:ind w:left="720" w:hanging="720"/>
        <w:jc w:val="left"/>
      </w:pPr>
      <w:r>
        <w:rPr>
          <w:rFonts w:ascii="Times New Roman" w:hAnsi="Times New Roman"/>
          <w:b w:val="0"/>
          <w:i w:val="0"/>
          <w:sz w:val="24"/>
        </w:rPr>
        <w:t>Conseil d'État 2022, Decision No. 452798, 3 June 2022, Conseil d'État, Paris, accessed 13 September 2026, &lt;https://www.conseil-etat.fr/fr/arianeweb/CE/decision/2022-06-03/452798&gt;.</w:t>
      </w:r>
    </w:p>
    <w:p>
      <w:pPr>
        <w:spacing w:before="0" w:after="160"/>
        <w:ind w:left="720" w:hanging="720"/>
        <w:jc w:val="left"/>
      </w:pPr>
      <w:r>
        <w:rPr>
          <w:rFonts w:ascii="Times New Roman" w:hAnsi="Times New Roman"/>
          <w:b w:val="0"/>
          <w:i w:val="0"/>
          <w:sz w:val="24"/>
        </w:rPr>
        <w:t>Cour constitutionnelle 2025, Arrêt no. 126/2025, 25 September 2025, ECLI:BE:GHCC:2025:ARR.126, Cour constitutionnelle, Brussels, accessed 13 September 2026, &lt;https://fr.const-court.be/public/f/2025/2025-126f.pdf&gt;.</w:t>
      </w:r>
    </w:p>
    <w:p>
      <w:pPr>
        <w:spacing w:before="0" w:after="160"/>
        <w:ind w:left="720" w:hanging="720"/>
        <w:jc w:val="left"/>
      </w:pPr>
      <w:r>
        <w:rPr>
          <w:rFonts w:ascii="Times New Roman" w:hAnsi="Times New Roman"/>
          <w:b w:val="0"/>
          <w:i w:val="0"/>
          <w:sz w:val="24"/>
        </w:rPr>
        <w:t>Danmarks Nationalbank 2025, Danskernes betalingsvaner, Danmarks Nationalbank, Copenhagen, accessed 12 September 2026, &lt;https://www.nationalbanken.dk/en/what-we-do/safe-and-efficient-payments/payment-habits-in-denmark&gt;.</w:t>
      </w:r>
    </w:p>
    <w:p>
      <w:pPr>
        <w:spacing w:before="0" w:after="160"/>
        <w:ind w:left="720" w:hanging="720"/>
        <w:jc w:val="left"/>
      </w:pPr>
      <w:r>
        <w:rPr>
          <w:rFonts w:ascii="Times New Roman" w:hAnsi="Times New Roman"/>
          <w:b w:val="0"/>
          <w:i w:val="0"/>
          <w:sz w:val="24"/>
        </w:rPr>
        <w:t>Danmarks Statistik 2026, Befolkningstal, Statistics Denmark, Copenhagen, accessed 12 September 2026.</w:t>
      </w:r>
    </w:p>
    <w:p>
      <w:pPr>
        <w:spacing w:before="0" w:after="160"/>
        <w:ind w:left="720" w:hanging="720"/>
        <w:jc w:val="left"/>
      </w:pPr>
      <w:r>
        <w:rPr>
          <w:rFonts w:ascii="Times New Roman" w:hAnsi="Times New Roman"/>
          <w:b w:val="0"/>
          <w:i w:val="0"/>
          <w:sz w:val="24"/>
        </w:rPr>
        <w:t>Denmark 2012, Lov om Offentlig Digital Post (LOV nr 528 af 11/06/2012), Retsinformation, Copenhagen, accessed 12 September 2026.</w:t>
      </w:r>
    </w:p>
    <w:p>
      <w:pPr>
        <w:spacing w:before="0" w:after="160"/>
        <w:ind w:left="720" w:hanging="720"/>
        <w:jc w:val="left"/>
      </w:pPr>
      <w:r>
        <w:rPr>
          <w:rFonts w:ascii="Times New Roman" w:hAnsi="Times New Roman"/>
          <w:b w:val="0"/>
          <w:i w:val="0"/>
          <w:sz w:val="24"/>
        </w:rPr>
        <w:t>Digitaliseringsdirektoratet 2025, Kontakt- og reservasjonsregisteret, Norwegian Digitalisation Agency, accessed 13 September 2026, &lt;https://www.digdir.no/digitale-felleslosninger/kontakt-og-reservasjonsregisteret-krr/865&gt;.</w:t>
      </w:r>
    </w:p>
    <w:p>
      <w:pPr>
        <w:spacing w:before="0" w:after="160"/>
        <w:ind w:left="720" w:hanging="720"/>
        <w:jc w:val="left"/>
      </w:pPr>
      <w:r>
        <w:rPr>
          <w:rFonts w:ascii="Times New Roman" w:hAnsi="Times New Roman"/>
          <w:b w:val="0"/>
          <w:i w:val="0"/>
          <w:sz w:val="24"/>
        </w:rPr>
        <w:t>Digitaliseringsstyrelsen 2025a, Digital Post – lovgivning, Agency for Digital Government, Copenhagen, accessed 12 September 2026.</w:t>
      </w:r>
    </w:p>
    <w:p>
      <w:pPr>
        <w:spacing w:before="0" w:after="160"/>
        <w:ind w:left="720" w:hanging="720"/>
        <w:jc w:val="left"/>
      </w:pPr>
      <w:r>
        <w:rPr>
          <w:rFonts w:ascii="Times New Roman" w:hAnsi="Times New Roman"/>
          <w:b w:val="0"/>
          <w:i w:val="0"/>
          <w:sz w:val="24"/>
        </w:rPr>
        <w:t>Digitaliseringsstyrelsen 2025b, Effektmåling af SMV:Digital, prepared by Danmarks Statistik, Agency for Digital Government, Copenhagen, accessed 12 September 2026, &lt;https://digst.dk/media/yz2ouzzz/effektmaaling-af-smvdigital-2025.pdf&gt;.</w:t>
      </w:r>
    </w:p>
    <w:p>
      <w:pPr>
        <w:spacing w:before="0" w:after="160"/>
        <w:ind w:left="720" w:hanging="720"/>
        <w:jc w:val="left"/>
      </w:pPr>
      <w:r>
        <w:rPr>
          <w:rFonts w:ascii="Times New Roman" w:hAnsi="Times New Roman"/>
          <w:b w:val="0"/>
          <w:i w:val="0"/>
          <w:sz w:val="24"/>
        </w:rPr>
        <w:t>Digitaliseringsstyrelsen 2025c, Hvem oplever udfordringer ved det digitale?, Agency for Digital Government, Copenhagen, accessed 12 September 2026.</w:t>
      </w:r>
    </w:p>
    <w:p>
      <w:pPr>
        <w:spacing w:before="0" w:after="160"/>
        <w:ind w:left="720" w:hanging="720"/>
        <w:jc w:val="left"/>
      </w:pPr>
      <w:r>
        <w:rPr>
          <w:rFonts w:ascii="Times New Roman" w:hAnsi="Times New Roman"/>
          <w:b w:val="0"/>
          <w:i w:val="0"/>
          <w:sz w:val="24"/>
        </w:rPr>
        <w:t>Digitaliseringsstyrelsen 2026, Statistik om Digital Post, Agency for Digital Government, Copenhagen, accessed 12 September 2026.</w:t>
      </w:r>
    </w:p>
    <w:p>
      <w:pPr>
        <w:spacing w:before="0" w:after="160"/>
        <w:ind w:left="720" w:hanging="720"/>
        <w:jc w:val="left"/>
      </w:pPr>
      <w:r>
        <w:rPr>
          <w:rFonts w:ascii="Times New Roman" w:hAnsi="Times New Roman"/>
          <w:b w:val="0"/>
          <w:i w:val="0"/>
          <w:sz w:val="24"/>
        </w:rPr>
        <w:t>European Commission 2026, Digital Decade 2026 country report: Denmark, SWD(2026) 155 final, Part 7/27, European Commission, Brussels.</w:t>
      </w:r>
    </w:p>
    <w:p>
      <w:pPr>
        <w:spacing w:before="0" w:after="160"/>
        <w:ind w:left="720" w:hanging="720"/>
        <w:jc w:val="left"/>
      </w:pPr>
      <w:r>
        <w:rPr>
          <w:rFonts w:ascii="Times New Roman" w:hAnsi="Times New Roman"/>
          <w:b w:val="0"/>
          <w:i w:val="0"/>
          <w:sz w:val="24"/>
        </w:rPr>
        <w:t>Eurostat 2025a, E-commerce statistics for individuals, European Commission, Luxembourg, accessed 12 September 2026.</w:t>
      </w:r>
    </w:p>
    <w:p>
      <w:pPr>
        <w:spacing w:before="0" w:after="160"/>
        <w:ind w:left="720" w:hanging="720"/>
        <w:jc w:val="left"/>
      </w:pPr>
      <w:r>
        <w:rPr>
          <w:rFonts w:ascii="Times New Roman" w:hAnsi="Times New Roman"/>
          <w:b w:val="0"/>
          <w:i w:val="0"/>
          <w:sz w:val="24"/>
        </w:rPr>
        <w:t>Eurostat 2025b, EU enterprises' online sales reach new heights, European Commission, Luxembourg, accessed 12 September 2026.</w:t>
      </w:r>
    </w:p>
    <w:p>
      <w:pPr>
        <w:spacing w:before="0" w:after="160"/>
        <w:ind w:left="720" w:hanging="720"/>
        <w:jc w:val="left"/>
      </w:pPr>
      <w:r>
        <w:rPr>
          <w:rFonts w:ascii="Times New Roman" w:hAnsi="Times New Roman"/>
          <w:b w:val="0"/>
          <w:i w:val="0"/>
          <w:sz w:val="24"/>
        </w:rPr>
        <w:t>Eurostat 2025c, Share of enterprises' turnover on e-commerce (tin00110), European Commission, Luxembourg, accessed 12 September 2026.</w:t>
      </w:r>
    </w:p>
    <w:p>
      <w:pPr>
        <w:spacing w:before="0" w:after="160"/>
        <w:ind w:left="720" w:hanging="720"/>
        <w:jc w:val="left"/>
      </w:pPr>
      <w:r>
        <w:rPr>
          <w:rFonts w:ascii="Times New Roman" w:hAnsi="Times New Roman"/>
          <w:b w:val="0"/>
          <w:i w:val="0"/>
          <w:sz w:val="24"/>
        </w:rPr>
        <w:t>Eurostat 2026, Internet purchases by individuals (2020 onwards), dataset isoc_ec_ib20, Statistical Office of the European Union, Luxembourg, data last updated 17 April 2026, accessed 12 September 2026, &lt;https://ec.europa.eu/eurostat/databrowser/view/isoc_ec_ib20/default/table?lang=en&gt;.</w:t>
      </w:r>
    </w:p>
    <w:p>
      <w:pPr>
        <w:spacing w:before="0" w:after="160"/>
        <w:ind w:left="720" w:hanging="720"/>
        <w:jc w:val="left"/>
      </w:pPr>
      <w:r>
        <w:rPr>
          <w:rFonts w:ascii="Times New Roman" w:hAnsi="Times New Roman"/>
          <w:b w:val="0"/>
          <w:i w:val="0"/>
          <w:sz w:val="24"/>
        </w:rPr>
        <w:t>Finans Danmark 2025, Institutter, filialer &amp; ansatte, Finans Danmark, Copenhagen, accessed 12 September 2026, &lt;https://finansdanmark.dk/tal-og-data/institutter-filialer-ansatte/&gt;.</w:t>
      </w:r>
    </w:p>
    <w:p>
      <w:pPr>
        <w:spacing w:before="0" w:after="160"/>
        <w:ind w:left="720" w:hanging="720"/>
        <w:jc w:val="left"/>
      </w:pPr>
      <w:r>
        <w:rPr>
          <w:rFonts w:ascii="Times New Roman" w:hAnsi="Times New Roman"/>
          <w:b w:val="0"/>
          <w:i w:val="0"/>
          <w:sz w:val="24"/>
        </w:rPr>
        <w:t>Finanstilsynet 2025, Kontantreglen, Danish Financial Supervisory Authority, Copenhagen, accessed 12 September 2026.</w:t>
      </w:r>
    </w:p>
    <w:p>
      <w:pPr>
        <w:spacing w:before="0" w:after="160"/>
        <w:ind w:left="720" w:hanging="720"/>
        <w:jc w:val="left"/>
      </w:pPr>
      <w:r>
        <w:rPr>
          <w:rFonts w:ascii="Times New Roman" w:hAnsi="Times New Roman"/>
          <w:b w:val="0"/>
          <w:i w:val="0"/>
          <w:sz w:val="24"/>
        </w:rPr>
        <w:t>Folketinget 2023, Lov om fravigelse fra obligatorisk digital selvbetjening, LOV nr 603 af 31. maj 2023, in force 1 June 2023, Retsinformation, accessed 13 September 2026, &lt;https://www.retsinformation.dk/eli/lta/2023/603&gt;.</w:t>
      </w:r>
    </w:p>
    <w:p>
      <w:pPr>
        <w:spacing w:before="0" w:after="160"/>
        <w:ind w:left="720" w:hanging="720"/>
        <w:jc w:val="left"/>
      </w:pPr>
      <w:r>
        <w:rPr>
          <w:rFonts w:ascii="Times New Roman" w:hAnsi="Times New Roman"/>
          <w:b w:val="0"/>
          <w:i w:val="0"/>
          <w:sz w:val="24"/>
        </w:rPr>
        <w:t>Howell, ST 2017, 'Financing innovation: evidence from R&amp;D grants', American Economic Review, vol. 107, no. 4, pp. 1136-1164.</w:t>
      </w:r>
    </w:p>
    <w:p>
      <w:pPr>
        <w:spacing w:before="0" w:after="160"/>
        <w:ind w:left="720" w:hanging="720"/>
        <w:jc w:val="left"/>
      </w:pPr>
      <w:r>
        <w:rPr>
          <w:rFonts w:ascii="Times New Roman" w:hAnsi="Times New Roman"/>
          <w:b w:val="0"/>
          <w:i w:val="0"/>
          <w:sz w:val="24"/>
        </w:rPr>
        <w:t>Institut for Menneskerettigheder 2023, Rettigheder i den digitale velfærdsstat, Danish Institute for Human Rights, Copenhagen, accessed 12 September 2026.</w:t>
      </w:r>
    </w:p>
    <w:p>
      <w:pPr>
        <w:spacing w:before="0" w:after="160"/>
        <w:ind w:left="720" w:hanging="720"/>
        <w:jc w:val="left"/>
      </w:pPr>
      <w:r>
        <w:rPr>
          <w:rFonts w:ascii="Times New Roman" w:hAnsi="Times New Roman"/>
          <w:b w:val="0"/>
          <w:i w:val="0"/>
          <w:sz w:val="24"/>
        </w:rPr>
        <w:t>Justitia 2022, Retssikkerhed for digitalt udsatte borgere, Justitia, Copenhagen, accessed 12 September 2026.</w:t>
      </w:r>
    </w:p>
    <w:p>
      <w:pPr>
        <w:spacing w:before="0" w:after="160"/>
        <w:ind w:left="720" w:hanging="720"/>
        <w:jc w:val="left"/>
      </w:pPr>
      <w:r>
        <w:rPr>
          <w:rFonts w:ascii="Times New Roman" w:hAnsi="Times New Roman"/>
          <w:b w:val="0"/>
          <w:i w:val="0"/>
          <w:sz w:val="24"/>
        </w:rPr>
        <w:t>Rigsrevisionen 2016, Beretning om besparelsespotentialet ved obligatorisk Digital Post på ca. 1 mia. kr. om året, National Audit Office of Denmark, Copenhagen, accessed 12 September 2026.</w:t>
      </w:r>
    </w:p>
    <w:p>
      <w:pPr>
        <w:spacing w:before="0" w:after="160"/>
        <w:ind w:left="720" w:hanging="720"/>
        <w:jc w:val="left"/>
      </w:pPr>
      <w:r>
        <w:rPr>
          <w:rFonts w:ascii="Times New Roman" w:hAnsi="Times New Roman"/>
          <w:b w:val="0"/>
          <w:i w:val="0"/>
          <w:sz w:val="24"/>
        </w:rPr>
        <w:t>Santoleri, P, Barrows, G, Caravella, S, Crespi, F and Pellegrino, G 2022, The causal effects of R&amp;D grants: evidence from a regression discontinuity, working paper, accessed 13 September 2026, &lt;https://pietrosantoleri.github.io/files/Santoleri_et_al_The_effects_of_R_D_grants.pdf&gt;.</w:t>
      </w:r>
    </w:p>
    <w:p>
      <w:pPr>
        <w:spacing w:before="0" w:after="160"/>
        <w:ind w:left="720" w:hanging="720"/>
        <w:jc w:val="left"/>
      </w:pPr>
      <w:r>
        <w:rPr>
          <w:rFonts w:ascii="Times New Roman" w:hAnsi="Times New Roman"/>
          <w:b w:val="0"/>
          <w:i w:val="0"/>
          <w:sz w:val="24"/>
        </w:rPr>
        <w:t>SMV:Digital 2026, Tilskudspuljer i 2026, SMV:Digital, Copenhagen, accessed 12 September 2026.</w:t>
      </w:r>
    </w:p>
    <w:p>
      <w:pPr>
        <w:spacing w:before="0" w:after="160"/>
        <w:ind w:left="720" w:hanging="720"/>
        <w:jc w:val="left"/>
      </w:pPr>
      <w:r>
        <w:rPr>
          <w:rFonts w:ascii="Times New Roman" w:hAnsi="Times New Roman"/>
          <w:b w:val="0"/>
          <w:i w:val="0"/>
          <w:sz w:val="24"/>
        </w:rPr>
        <w:t>Tran, TT 2026, 'Guest speaker session: corporate sustainability and the adoption of artificial intelligence', guest lecture, ECON1596 Business Challenges in the Digital Economy, RMIT University Vietnam, Ho Chi Minh City, [LECTURE DATE: to be completed by the author].</w:t>
      </w:r>
    </w:p>
    <w:p>
      <w:r>
        <w:br w:type="page"/>
      </w:r>
    </w:p>
    <w:p>
      <w:pPr>
        <w:spacing w:before="0" w:after="160"/>
        <w:jc w:val="left"/>
      </w:pPr>
      <w:r>
        <w:rPr>
          <w:rFonts w:ascii="Times New Roman" w:hAnsi="Times New Roman"/>
          <w:b/>
          <w:i w:val="0"/>
          <w:sz w:val="26"/>
        </w:rPr>
        <w:t>Appendix C. Regression Diagnostics</w:t>
      </w:r>
    </w:p>
    <w:p>
      <w:pPr>
        <w:spacing w:before="0" w:after="120"/>
        <w:jc w:val="both"/>
      </w:pPr>
      <w:r>
        <w:rPr>
          <w:rFonts w:ascii="Times New Roman" w:hAnsi="Times New Roman"/>
          <w:b w:val="0"/>
          <w:i w:val="0"/>
          <w:sz w:val="24"/>
        </w:rPr>
        <w:t>This appendix supports the regression reported in Section 2. The cross-section is eighteen member states holding both measures for 2024: the share of internet users who purchased online (Eurostat 2026) and e-sales as a share of enterprise turnover (Eurostat 2025c). All computation is reproducible from `02_MASTER`; the workbook computes the same statistics as live formulas on sheet `F6_ADOPT_BENEFIT`.</w:t>
      </w:r>
    </w:p>
    <w:p>
      <w:pPr>
        <w:spacing w:before="160" w:after="80"/>
        <w:jc w:val="left"/>
      </w:pPr>
      <w:r>
        <w:rPr>
          <w:rFonts w:ascii="Times New Roman" w:hAnsi="Times New Roman"/>
          <w:b/>
          <w:i w:val="0"/>
          <w:sz w:val="24"/>
        </w:rPr>
        <w:t>C.1 The estimate</w:t>
      </w:r>
    </w:p>
    <w:tbl>
      <w:tblPr>
        <w:tblStyle w:val="TableGrid"/>
        <w:tblW w:type="auto" w:w="0"/>
        <w:tblLook w:firstColumn="1" w:firstRow="1" w:lastColumn="0" w:lastRow="0" w:noHBand="0" w:noVBand="1" w:val="04A0"/>
      </w:tblPr>
      <w:tblGrid>
        <w:gridCol w:w="4680"/>
        <w:gridCol w:w="4680"/>
      </w:tblGrid>
      <w:tr>
        <w:tc>
          <w:tcPr>
            <w:tcW w:type="dxa" w:w="4680"/>
          </w:tcPr>
          <w:p>
            <w:pPr>
              <w:spacing w:line="240" w:lineRule="auto" w:after="40"/>
            </w:pPr>
            <w:r>
              <w:rPr>
                <w:rFonts w:ascii="Times New Roman" w:hAnsi="Times New Roman"/>
                <w:b/>
                <w:sz w:val="20"/>
              </w:rPr>
              <w:t>Statistic</w:t>
            </w:r>
          </w:p>
        </w:tc>
        <w:tc>
          <w:tcPr>
            <w:tcW w:type="dxa" w:w="4680"/>
          </w:tcPr>
          <w:p>
            <w:pPr>
              <w:spacing w:line="240" w:lineRule="auto" w:after="40"/>
            </w:pPr>
            <w:r>
              <w:rPr>
                <w:rFonts w:ascii="Times New Roman" w:hAnsi="Times New Roman"/>
                <w:b/>
                <w:sz w:val="20"/>
              </w:rPr>
              <w:t>Value</w:t>
            </w:r>
          </w:p>
        </w:tc>
      </w:tr>
      <w:tr>
        <w:tc>
          <w:tcPr>
            <w:tcW w:type="dxa" w:w="4680"/>
          </w:tcPr>
          <w:p>
            <w:pPr>
              <w:spacing w:line="240" w:lineRule="auto" w:after="40"/>
            </w:pPr>
            <w:r>
              <w:rPr>
                <w:rFonts w:ascii="Times New Roman" w:hAnsi="Times New Roman"/>
                <w:b w:val="0"/>
                <w:sz w:val="20"/>
              </w:rPr>
              <w:t>Slope</w:t>
            </w:r>
          </w:p>
        </w:tc>
        <w:tc>
          <w:tcPr>
            <w:tcW w:type="dxa" w:w="4680"/>
          </w:tcPr>
          <w:p>
            <w:pPr>
              <w:spacing w:line="240" w:lineRule="auto" w:after="40"/>
            </w:pPr>
            <w:r>
              <w:rPr>
                <w:rFonts w:ascii="Times New Roman" w:hAnsi="Times New Roman"/>
                <w:b w:val="0"/>
                <w:sz w:val="20"/>
              </w:rPr>
              <w:t>+0.6022 pp turnover per pp adoption</w:t>
            </w:r>
          </w:p>
        </w:tc>
      </w:tr>
      <w:tr>
        <w:tc>
          <w:tcPr>
            <w:tcW w:type="dxa" w:w="4680"/>
          </w:tcPr>
          <w:p>
            <w:pPr>
              <w:spacing w:line="240" w:lineRule="auto" w:after="40"/>
            </w:pPr>
            <w:r>
              <w:rPr>
                <w:rFonts w:ascii="Times New Roman" w:hAnsi="Times New Roman"/>
                <w:b w:val="0"/>
                <w:sz w:val="20"/>
              </w:rPr>
              <w:t>Standard error</w:t>
            </w:r>
          </w:p>
        </w:tc>
        <w:tc>
          <w:tcPr>
            <w:tcW w:type="dxa" w:w="4680"/>
          </w:tcPr>
          <w:p>
            <w:pPr>
              <w:spacing w:line="240" w:lineRule="auto" w:after="40"/>
            </w:pPr>
            <w:r>
              <w:rPr>
                <w:rFonts w:ascii="Times New Roman" w:hAnsi="Times New Roman"/>
                <w:b w:val="0"/>
                <w:sz w:val="20"/>
              </w:rPr>
              <w:t>0.1047</w:t>
            </w:r>
          </w:p>
        </w:tc>
      </w:tr>
      <w:tr>
        <w:tc>
          <w:tcPr>
            <w:tcW w:type="dxa" w:w="4680"/>
          </w:tcPr>
          <w:p>
            <w:pPr>
              <w:spacing w:line="240" w:lineRule="auto" w:after="40"/>
            </w:pPr>
            <w:r>
              <w:rPr>
                <w:rFonts w:ascii="Times New Roman" w:hAnsi="Times New Roman"/>
                <w:b w:val="0"/>
                <w:sz w:val="20"/>
              </w:rPr>
              <w:t>t (16 df)</w:t>
            </w:r>
          </w:p>
        </w:tc>
        <w:tc>
          <w:tcPr>
            <w:tcW w:type="dxa" w:w="4680"/>
          </w:tcPr>
          <w:p>
            <w:pPr>
              <w:spacing w:line="240" w:lineRule="auto" w:after="40"/>
            </w:pPr>
            <w:r>
              <w:rPr>
                <w:rFonts w:ascii="Times New Roman" w:hAnsi="Times New Roman"/>
                <w:b w:val="0"/>
                <w:sz w:val="20"/>
              </w:rPr>
              <w:t>5.749</w:t>
            </w:r>
          </w:p>
        </w:tc>
      </w:tr>
      <w:tr>
        <w:tc>
          <w:tcPr>
            <w:tcW w:type="dxa" w:w="4680"/>
          </w:tcPr>
          <w:p>
            <w:pPr>
              <w:spacing w:line="240" w:lineRule="auto" w:after="40"/>
            </w:pPr>
            <w:r>
              <w:rPr>
                <w:rFonts w:ascii="Times New Roman" w:hAnsi="Times New Roman"/>
                <w:b w:val="0"/>
                <w:sz w:val="20"/>
              </w:rPr>
              <w:t>95% confidence interval</w:t>
            </w:r>
          </w:p>
        </w:tc>
        <w:tc>
          <w:tcPr>
            <w:tcW w:type="dxa" w:w="4680"/>
          </w:tcPr>
          <w:p>
            <w:pPr>
              <w:spacing w:line="240" w:lineRule="auto" w:after="40"/>
            </w:pPr>
            <w:r>
              <w:rPr>
                <w:rFonts w:ascii="Times New Roman" w:hAnsi="Times New Roman"/>
                <w:b w:val="0"/>
                <w:sz w:val="20"/>
              </w:rPr>
              <w:t>[0.380, 0.824]</w:t>
            </w:r>
          </w:p>
        </w:tc>
      </w:tr>
      <w:tr>
        <w:tc>
          <w:tcPr>
            <w:tcW w:type="dxa" w:w="4680"/>
          </w:tcPr>
          <w:p>
            <w:pPr>
              <w:spacing w:line="240" w:lineRule="auto" w:after="40"/>
            </w:pPr>
            <w:r>
              <w:rPr>
                <w:rFonts w:ascii="Times New Roman" w:hAnsi="Times New Roman"/>
                <w:b w:val="0"/>
                <w:sz w:val="20"/>
              </w:rPr>
              <w:t>R²</w:t>
            </w:r>
          </w:p>
        </w:tc>
        <w:tc>
          <w:tcPr>
            <w:tcW w:type="dxa" w:w="4680"/>
          </w:tcPr>
          <w:p>
            <w:pPr>
              <w:spacing w:line="240" w:lineRule="auto" w:after="40"/>
            </w:pPr>
            <w:r>
              <w:rPr>
                <w:rFonts w:ascii="Times New Roman" w:hAnsi="Times New Roman"/>
                <w:b w:val="0"/>
                <w:sz w:val="20"/>
              </w:rPr>
              <w:t>0.674</w:t>
            </w:r>
          </w:p>
        </w:tc>
      </w:tr>
      <w:tr>
        <w:tc>
          <w:tcPr>
            <w:tcW w:type="dxa" w:w="4680"/>
          </w:tcPr>
          <w:p>
            <w:pPr>
              <w:spacing w:line="240" w:lineRule="auto" w:after="40"/>
            </w:pPr>
            <w:r>
              <w:rPr>
                <w:rFonts w:ascii="Times New Roman" w:hAnsi="Times New Roman"/>
                <w:b w:val="0"/>
                <w:sz w:val="20"/>
              </w:rPr>
              <w:t>Residual standard error (RMSE)</w:t>
            </w:r>
          </w:p>
        </w:tc>
        <w:tc>
          <w:tcPr>
            <w:tcW w:type="dxa" w:w="4680"/>
          </w:tcPr>
          <w:p>
            <w:pPr>
              <w:spacing w:line="240" w:lineRule="auto" w:after="40"/>
            </w:pPr>
            <w:r>
              <w:rPr>
                <w:rFonts w:ascii="Times New Roman" w:hAnsi="Times New Roman"/>
                <w:b w:val="0"/>
                <w:sz w:val="20"/>
              </w:rPr>
              <w:t>4.450 pp</w:t>
            </w:r>
          </w:p>
        </w:tc>
      </w:tr>
      <w:tr>
        <w:tc>
          <w:tcPr>
            <w:tcW w:type="dxa" w:w="4680"/>
          </w:tcPr>
          <w:p>
            <w:pPr>
              <w:spacing w:line="240" w:lineRule="auto" w:after="40"/>
            </w:pPr>
            <w:r>
              <w:rPr>
                <w:rFonts w:ascii="Times New Roman" w:hAnsi="Times New Roman"/>
                <w:b w:val="0"/>
                <w:sz w:val="20"/>
              </w:rPr>
              <w:t>n</w:t>
            </w:r>
          </w:p>
        </w:tc>
        <w:tc>
          <w:tcPr>
            <w:tcW w:type="dxa" w:w="4680"/>
          </w:tcPr>
          <w:p>
            <w:pPr>
              <w:spacing w:line="240" w:lineRule="auto" w:after="40"/>
            </w:pPr>
            <w:r>
              <w:rPr>
                <w:rFonts w:ascii="Times New Roman" w:hAnsi="Times New Roman"/>
                <w:b w:val="0"/>
                <w:sz w:val="20"/>
              </w:rPr>
              <w:t>18</w:t>
            </w:r>
          </w:p>
        </w:tc>
      </w:tr>
    </w:tbl>
    <w:p>
      <w:pPr>
        <w:spacing w:before="0" w:after="0"/>
        <w:jc w:val="both"/>
      </w:pPr>
      <w:r>
        <w:rPr>
          <w:rFonts w:ascii="Times New Roman" w:hAnsi="Times New Roman"/>
          <w:b w:val="0"/>
          <w:i w:val="0"/>
          <w:sz w:val="12"/>
        </w:rPr>
      </w:r>
    </w:p>
    <w:p>
      <w:pPr>
        <w:spacing w:before="0" w:after="120"/>
        <w:jc w:val="both"/>
      </w:pPr>
      <w:r>
        <w:rPr>
          <w:rFonts w:ascii="Times New Roman" w:hAnsi="Times New Roman"/>
          <w:b w:val="0"/>
          <w:i w:val="0"/>
          <w:sz w:val="24"/>
        </w:rPr>
        <w:t>The interval is the honest statement of what eighteen observations support. At the lower bound a percentage point of adoption is worth 0.38pp of turnover; at the upper bound, 0.82. The point estimate alone would overstate the precision by a factor of roughly two.</w:t>
      </w:r>
    </w:p>
    <w:p>
      <w:pPr>
        <w:spacing w:before="160" w:after="80"/>
        <w:jc w:val="left"/>
      </w:pPr>
      <w:r>
        <w:rPr>
          <w:rFonts w:ascii="Times New Roman" w:hAnsi="Times New Roman"/>
          <w:b/>
          <w:i w:val="0"/>
          <w:sz w:val="24"/>
        </w:rPr>
        <w:t>C.2 Residuals</w:t>
      </w:r>
    </w:p>
    <w:p>
      <w:pPr>
        <w:spacing w:before="0" w:after="120"/>
        <w:jc w:val="both"/>
      </w:pPr>
      <w:r>
        <w:rPr>
          <w:rFonts w:ascii="Times New Roman" w:hAnsi="Times New Roman"/>
          <w:b w:val="0"/>
          <w:i w:val="0"/>
          <w:sz w:val="24"/>
        </w:rPr>
        <w:t>Figure C1</w:t>
      </w:r>
    </w:p>
    <w:p>
      <w:pPr>
        <w:spacing w:before="0" w:after="120"/>
        <w:jc w:val="both"/>
      </w:pPr>
      <w:r>
        <w:rPr>
          <w:rFonts w:ascii="Times New Roman" w:hAnsi="Times New Roman"/>
          <w:b w:val="0"/>
          <w:i w:val="0"/>
          <w:sz w:val="24"/>
        </w:rPr>
        <w:t>No state is mispredicted by more than two residual standard errors, so the linear form is not obviously wrong. The largest positive residuals are Belgium (+7.69pp, +1.73 RMSE), Ireland (+6.31, +1.42) and Italy (+5.51, +1.24).</w:t>
      </w:r>
    </w:p>
    <w:p>
      <w:pPr>
        <w:spacing w:before="0" w:after="120"/>
        <w:jc w:val="both"/>
      </w:pPr>
      <w:r>
        <w:rPr>
          <w:rFonts w:ascii="Times New Roman" w:hAnsi="Times New Roman"/>
          <w:b w:val="0"/>
          <w:i w:val="0"/>
          <w:sz w:val="24"/>
        </w:rPr>
        <w:t>Denmark's residual is **+4.34pp, or +0.97 RMSE, fourth largest of eighteen**. This is the figure that killed an earlier version of this report's argument. A residual inside one standard error, with three states further above the line, is an ordinary position on the fitted relationship, not evidence that Denmark converts adoption into commercial activity unusually well. Section 2 says only that Denmark sits above the line and within one standard error of it.</w:t>
      </w:r>
    </w:p>
    <w:p>
      <w:pPr>
        <w:spacing w:before="160" w:after="80"/>
        <w:jc w:val="left"/>
      </w:pPr>
      <w:r>
        <w:rPr>
          <w:rFonts w:ascii="Times New Roman" w:hAnsi="Times New Roman"/>
          <w:b/>
          <w:i w:val="0"/>
          <w:sz w:val="24"/>
        </w:rPr>
        <w:t>C.3 Leave-one-out stability</w:t>
      </w:r>
    </w:p>
    <w:p>
      <w:pPr>
        <w:spacing w:before="0" w:after="120"/>
        <w:jc w:val="both"/>
      </w:pPr>
      <w:r>
        <w:rPr>
          <w:rFonts w:ascii="Times New Roman" w:hAnsi="Times New Roman"/>
          <w:b w:val="0"/>
          <w:i w:val="0"/>
          <w:sz w:val="24"/>
        </w:rPr>
        <w:t>Figure C2</w:t>
      </w:r>
    </w:p>
    <w:p>
      <w:pPr>
        <w:spacing w:before="0" w:after="120"/>
        <w:jc w:val="both"/>
      </w:pPr>
      <w:r>
        <w:rPr>
          <w:rFonts w:ascii="Times New Roman" w:hAnsi="Times New Roman"/>
          <w:b w:val="0"/>
          <w:i w:val="0"/>
          <w:sz w:val="24"/>
        </w:rPr>
        <w:t>Re-estimating the slope eighteen times, dropping each member state in turn, gives a range of **[0.516, 0.672]**. The slope never approaches zero and never changes sign, and every re-estimate falls inside the full-sample confidence interval. Ireland is the most influential single observation: dropping it moves the slope by −0.086, about 14%. That is unsurprising, since Ireland is the extreme point on both axes, and it is the reason Section 2 quotes an interval rather than a point.</w:t>
      </w:r>
    </w:p>
    <w:p>
      <w:pPr>
        <w:spacing w:before="160" w:after="80"/>
        <w:jc w:val="left"/>
      </w:pPr>
      <w:r>
        <w:rPr>
          <w:rFonts w:ascii="Times New Roman" w:hAnsi="Times New Roman"/>
          <w:b/>
          <w:i w:val="0"/>
          <w:sz w:val="24"/>
        </w:rPr>
        <w:t>C.4 Selection on the tails, measured</w:t>
      </w:r>
    </w:p>
    <w:p>
      <w:pPr>
        <w:spacing w:before="0" w:after="120"/>
        <w:jc w:val="both"/>
      </w:pPr>
      <w:r>
        <w:rPr>
          <w:rFonts w:ascii="Times New Roman" w:hAnsi="Times New Roman"/>
          <w:b w:val="0"/>
          <w:i w:val="0"/>
          <w:sz w:val="24"/>
        </w:rPr>
        <w:t>Figure C3</w:t>
      </w:r>
    </w:p>
    <w:p>
      <w:pPr>
        <w:spacing w:before="0" w:after="120"/>
        <w:jc w:val="both"/>
      </w:pPr>
      <w:r>
        <w:rPr>
          <w:rFonts w:ascii="Times New Roman" w:hAnsi="Times New Roman"/>
          <w:b w:val="0"/>
          <w:i w:val="0"/>
          <w:sz w:val="24"/>
        </w:rPr>
        <w:t>An earlier version of this figure drew its adoption values from a Eurostat news release (Eurostat 2025a), which named nine countries: the three highest, the three lowest and three notable movers. Six of those nine also report the turnover measure, so the figure originally rested on six observations drawn entirely from the ends of the distribution.</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pPr>
              <w:spacing w:line="240" w:lineRule="auto" w:after="40"/>
            </w:pPr>
            <w:r>
              <w:rPr>
                <w:rFonts w:ascii="Times New Roman" w:hAnsi="Times New Roman"/>
                <w:b/>
                <w:sz w:val="20"/>
              </w:rPr>
              <w:t>Sample</w:t>
            </w:r>
          </w:p>
        </w:tc>
        <w:tc>
          <w:tcPr>
            <w:tcW w:type="dxa" w:w="2340"/>
          </w:tcPr>
          <w:p>
            <w:pPr>
              <w:spacing w:line="240" w:lineRule="auto" w:after="40"/>
            </w:pPr>
            <w:r>
              <w:rPr>
                <w:rFonts w:ascii="Times New Roman" w:hAnsi="Times New Roman"/>
                <w:b/>
                <w:sz w:val="20"/>
              </w:rPr>
              <w:t>n</w:t>
            </w:r>
          </w:p>
        </w:tc>
        <w:tc>
          <w:tcPr>
            <w:tcW w:type="dxa" w:w="2340"/>
          </w:tcPr>
          <w:p>
            <w:pPr>
              <w:spacing w:line="240" w:lineRule="auto" w:after="40"/>
            </w:pPr>
            <w:r>
              <w:rPr>
                <w:rFonts w:ascii="Times New Roman" w:hAnsi="Times New Roman"/>
                <w:b/>
                <w:sz w:val="20"/>
              </w:rPr>
              <w:t>Slope</w:t>
            </w:r>
          </w:p>
        </w:tc>
        <w:tc>
          <w:tcPr>
            <w:tcW w:type="dxa" w:w="2340"/>
          </w:tcPr>
          <w:p>
            <w:pPr>
              <w:spacing w:line="240" w:lineRule="auto" w:after="40"/>
            </w:pPr>
            <w:r>
              <w:rPr>
                <w:rFonts w:ascii="Times New Roman" w:hAnsi="Times New Roman"/>
                <w:b/>
                <w:sz w:val="20"/>
              </w:rPr>
              <w:t>R²</w:t>
            </w:r>
          </w:p>
        </w:tc>
      </w:tr>
      <w:tr>
        <w:tc>
          <w:tcPr>
            <w:tcW w:type="dxa" w:w="2340"/>
          </w:tcPr>
          <w:p>
            <w:pPr>
              <w:spacing w:line="240" w:lineRule="auto" w:after="40"/>
            </w:pPr>
            <w:r>
              <w:rPr>
                <w:rFonts w:ascii="Times New Roman" w:hAnsi="Times New Roman"/>
                <w:b w:val="0"/>
                <w:sz w:val="20"/>
              </w:rPr>
              <w:t>Six tail countries (press-release values)</w:t>
            </w:r>
          </w:p>
        </w:tc>
        <w:tc>
          <w:tcPr>
            <w:tcW w:type="dxa" w:w="2340"/>
          </w:tcPr>
          <w:p>
            <w:pPr>
              <w:spacing w:line="240" w:lineRule="auto" w:after="40"/>
            </w:pPr>
            <w:r>
              <w:rPr>
                <w:rFonts w:ascii="Times New Roman" w:hAnsi="Times New Roman"/>
                <w:b w:val="0"/>
                <w:sz w:val="20"/>
              </w:rPr>
              <w:t>6</w:t>
            </w:r>
          </w:p>
        </w:tc>
        <w:tc>
          <w:tcPr>
            <w:tcW w:type="dxa" w:w="2340"/>
          </w:tcPr>
          <w:p>
            <w:pPr>
              <w:spacing w:line="240" w:lineRule="auto" w:after="40"/>
            </w:pPr>
            <w:r>
              <w:rPr>
                <w:rFonts w:ascii="Times New Roman" w:hAnsi="Times New Roman"/>
                <w:b w:val="0"/>
                <w:sz w:val="20"/>
              </w:rPr>
              <w:t>+0.655</w:t>
            </w:r>
          </w:p>
        </w:tc>
        <w:tc>
          <w:tcPr>
            <w:tcW w:type="dxa" w:w="2340"/>
          </w:tcPr>
          <w:p>
            <w:pPr>
              <w:spacing w:line="240" w:lineRule="auto" w:after="40"/>
            </w:pPr>
            <w:r>
              <w:rPr>
                <w:rFonts w:ascii="Times New Roman" w:hAnsi="Times New Roman"/>
                <w:b w:val="0"/>
                <w:sz w:val="20"/>
              </w:rPr>
              <w:t>0.853</w:t>
            </w:r>
          </w:p>
        </w:tc>
      </w:tr>
      <w:tr>
        <w:tc>
          <w:tcPr>
            <w:tcW w:type="dxa" w:w="2340"/>
          </w:tcPr>
          <w:p>
            <w:pPr>
              <w:spacing w:line="240" w:lineRule="auto" w:after="40"/>
            </w:pPr>
            <w:r>
              <w:rPr>
                <w:rFonts w:ascii="Times New Roman" w:hAnsi="Times New Roman"/>
                <w:b w:val="0"/>
                <w:sz w:val="20"/>
              </w:rPr>
              <w:t>All eighteen (databrowser extract)</w:t>
            </w:r>
          </w:p>
        </w:tc>
        <w:tc>
          <w:tcPr>
            <w:tcW w:type="dxa" w:w="2340"/>
          </w:tcPr>
          <w:p>
            <w:pPr>
              <w:spacing w:line="240" w:lineRule="auto" w:after="40"/>
            </w:pPr>
            <w:r>
              <w:rPr>
                <w:rFonts w:ascii="Times New Roman" w:hAnsi="Times New Roman"/>
                <w:b w:val="0"/>
                <w:sz w:val="20"/>
              </w:rPr>
              <w:t>18</w:t>
            </w:r>
          </w:p>
        </w:tc>
        <w:tc>
          <w:tcPr>
            <w:tcW w:type="dxa" w:w="2340"/>
          </w:tcPr>
          <w:p>
            <w:pPr>
              <w:spacing w:line="240" w:lineRule="auto" w:after="40"/>
            </w:pPr>
            <w:r>
              <w:rPr>
                <w:rFonts w:ascii="Times New Roman" w:hAnsi="Times New Roman"/>
                <w:b w:val="0"/>
                <w:sz w:val="20"/>
              </w:rPr>
              <w:t>+0.602</w:t>
            </w:r>
          </w:p>
        </w:tc>
        <w:tc>
          <w:tcPr>
            <w:tcW w:type="dxa" w:w="2340"/>
          </w:tcPr>
          <w:p>
            <w:pPr>
              <w:spacing w:line="240" w:lineRule="auto" w:after="40"/>
            </w:pPr>
            <w:r>
              <w:rPr>
                <w:rFonts w:ascii="Times New Roman" w:hAnsi="Times New Roman"/>
                <w:b w:val="0"/>
                <w:sz w:val="20"/>
              </w:rPr>
              <w:t>0.674</w:t>
            </w:r>
          </w:p>
        </w:tc>
      </w:tr>
    </w:tbl>
    <w:p>
      <w:pPr>
        <w:spacing w:before="0" w:after="0"/>
        <w:jc w:val="both"/>
      </w:pPr>
      <w:r>
        <w:rPr>
          <w:rFonts w:ascii="Times New Roman" w:hAnsi="Times New Roman"/>
          <w:b w:val="0"/>
          <w:i w:val="0"/>
          <w:sz w:val="12"/>
        </w:rPr>
      </w:r>
    </w:p>
    <w:p>
      <w:pPr>
        <w:spacing w:before="0" w:after="120"/>
        <w:jc w:val="both"/>
      </w:pPr>
      <w:r>
        <w:rPr>
          <w:rFonts w:ascii="Times New Roman" w:hAnsi="Times New Roman"/>
          <w:b w:val="0"/>
          <w:i w:val="0"/>
          <w:sz w:val="24"/>
        </w:rPr>
        <w:t>The slope moved by about 8%; the fit fell by 0.18. Selecting on the tails therefore inflated the apparent explanatory power far more than it biased the estimated relationship, which is the characteristic signature of range restriction in reverse, and a demonstration of selection bias measured on this report's own data rather than asserted from a textbook.</w:t>
      </w:r>
    </w:p>
    <w:p>
      <w:pPr>
        <w:spacing w:before="0" w:after="120"/>
        <w:jc w:val="both"/>
      </w:pPr>
      <w:r>
        <w:rPr>
          <w:rFonts w:ascii="Times New Roman" w:hAnsi="Times New Roman"/>
          <w:b w:val="0"/>
          <w:i w:val="0"/>
          <w:sz w:val="24"/>
        </w:rPr>
        <w:t>One detail matters for anyone reproducing this. The tail-sample statistics are computed from the **rounded values the press release printed** (Ireland 96, Denmark 91, Germany 83, Hungary 79, Italy 60, Bulgaria 57), because the point is what the earlier figure actually showed. Recomputing the same six countries from the databrowser's unrounded values gives a slope of 0.658 and R² of 0.854: the same conclusion, marginally different digits.</w:t>
      </w:r>
    </w:p>
    <w:p>
      <w:pPr>
        <w:spacing w:before="160" w:after="80"/>
        <w:jc w:val="left"/>
      </w:pPr>
      <w:r>
        <w:rPr>
          <w:rFonts w:ascii="Times New Roman" w:hAnsi="Times New Roman"/>
          <w:b/>
          <w:i w:val="0"/>
          <w:sz w:val="24"/>
        </w:rPr>
        <w:t>C.5 Is the missing third of the EU missing for a reason?</w:t>
      </w:r>
    </w:p>
    <w:p>
      <w:pPr>
        <w:spacing w:before="0" w:after="120"/>
        <w:jc w:val="both"/>
      </w:pPr>
      <w:r>
        <w:rPr>
          <w:rFonts w:ascii="Times New Roman" w:hAnsi="Times New Roman"/>
          <w:b w:val="0"/>
          <w:i w:val="0"/>
          <w:sz w:val="24"/>
        </w:rPr>
        <w:t>Nine member states report adoption but not turnover: EE, EL, FI, LT, LV, NL, PT, RO and SK. If they were absent because of something correlated with the outcome, the estimate would be selected rather than merely incomplete.</w:t>
      </w:r>
    </w:p>
    <w:p>
      <w:pPr>
        <w:spacing w:before="0" w:after="120"/>
        <w:jc w:val="both"/>
      </w:pPr>
      <w:r>
        <w:rPr>
          <w:rFonts w:ascii="Times New Roman" w:hAnsi="Times New Roman"/>
          <w:b w:val="0"/>
          <w:i w:val="0"/>
          <w:sz w:val="24"/>
        </w:rPr>
        <w:t>They average **75.67%** on adoption against the plotted eighteen's **77.23%**, a difference of −1.57pp, with a two-sample t of −0.372 on 25 degrees of freedom, p ≈ 0.71. The two groups are statistically indistinguishable on the x-axis. The sample is missing on availability of the outcome measure, not selected on the regressor.</w:t>
      </w:r>
    </w:p>
    <w:p>
      <w:pPr>
        <w:spacing w:before="0" w:after="120"/>
        <w:jc w:val="both"/>
      </w:pPr>
      <w:r>
        <w:rPr>
          <w:rFonts w:ascii="Times New Roman" w:hAnsi="Times New Roman"/>
          <w:b w:val="0"/>
          <w:i w:val="0"/>
          <w:sz w:val="24"/>
        </w:rPr>
        <w:t>That test has a limit worth stating, because it is the strongest objection to this section. Balance on the regressor is not balance on the outcome, and the reasons a national statistical institute fails to publish an e-sales turnover figure are not all random with respect to economic structure. Eurostat requires turnover at basic prices excluding VAT, and rejects national submissions failing coherence checks against Structural Business Statistics. Web and EDI sales behave differently, since EDI carries industrial business-to-business volume, so a small change in which large manufacturers fall into the sample can move a national share by several points. And secondary suppression removes a national total outright where one or two dominant firms in a NACE division would let their figure be recovered by subtraction. That last mechanism is the troubling one: it makes missingness a function of market concentration, which is plausibly related to enterprise e-commerce intensity. A balance test on consumer adoption cannot detect it. The honest statement is that the nine are missing for administrative and disclosure reasons rather than for anything this section could observe, which is weaker than missing at random and stronger than selected on the outcome.</w:t>
      </w:r>
    </w:p>
    <w:p>
      <w:pPr>
        <w:spacing w:before="160" w:after="80"/>
        <w:jc w:val="left"/>
      </w:pPr>
      <w:r>
        <w:rPr>
          <w:rFonts w:ascii="Times New Roman" w:hAnsi="Times New Roman"/>
          <w:b/>
          <w:i w:val="0"/>
          <w:sz w:val="24"/>
        </w:rPr>
        <w:t>C.6 What this design still cannot do</w:t>
      </w:r>
    </w:p>
    <w:p>
      <w:pPr>
        <w:spacing w:before="0" w:after="120"/>
        <w:jc w:val="both"/>
      </w:pPr>
      <w:r>
        <w:rPr>
          <w:rFonts w:ascii="Times New Roman" w:hAnsi="Times New Roman"/>
          <w:b w:val="0"/>
          <w:i w:val="0"/>
          <w:sz w:val="24"/>
        </w:rPr>
        <w:t>Adoption is measured on consumers and turnover on enterprises, including business-to-business ordering no consumer ever touches, so the two axes are not two sides of one transaction. National income appears on neither axis and would plausibly raise both. Both are single-year cross-sections, so nothing here identifies a direction of causation. The relationship is an association that survives every robustness check available on eighteen observations, and that is the whole of the claim.</w:t>
      </w:r>
    </w:p>
    <w:p>
      <w:pPr>
        <w:spacing w:before="160" w:after="40"/>
        <w:jc w:val="center"/>
      </w:pPr>
      <w:r>
        <w:drawing>
          <wp:inline xmlns:a="http://schemas.openxmlformats.org/drawingml/2006/main" xmlns:pic="http://schemas.openxmlformats.org/drawingml/2006/picture">
            <wp:extent cx="5760000" cy="3228413"/>
            <wp:docPr id="8" name="Picture 8"/>
            <wp:cNvGraphicFramePr>
              <a:graphicFrameLocks noChangeAspect="1"/>
            </wp:cNvGraphicFramePr>
            <a:graphic>
              <a:graphicData uri="http://schemas.openxmlformats.org/drawingml/2006/picture">
                <pic:pic>
                  <pic:nvPicPr>
                    <pic:cNvPr id="0" name="figA_c1_residuals.png"/>
                    <pic:cNvPicPr/>
                  </pic:nvPicPr>
                  <pic:blipFill>
                    <a:blip r:embed="rId17"/>
                    <a:stretch>
                      <a:fillRect/>
                    </a:stretch>
                  </pic:blipFill>
                  <pic:spPr>
                    <a:xfrm>
                      <a:off x="0" y="0"/>
                      <a:ext cx="5760000" cy="3228413"/>
                    </a:xfrm>
                    <a:prstGeom prst="rect"/>
                  </pic:spPr>
                </pic:pic>
              </a:graphicData>
            </a:graphic>
          </wp:inline>
        </w:drawing>
      </w:r>
    </w:p>
    <w:p>
      <w:pPr>
        <w:spacing w:before="0" w:after="200" w:line="240" w:lineRule="auto"/>
        <w:jc w:val="center"/>
      </w:pPr>
      <w:r>
        <w:rPr>
          <w:rFonts w:ascii="Times New Roman" w:hAnsi="Times New Roman"/>
          <w:b w:val="0"/>
          <w:i/>
          <w:sz w:val="20"/>
        </w:rPr>
        <w:t>Figure C1. Residuals against fitted values, EU 2024 regression. Workbook F6.</w:t>
      </w:r>
    </w:p>
    <w:p>
      <w:pPr>
        <w:spacing w:before="160" w:after="40"/>
        <w:jc w:val="center"/>
      </w:pPr>
      <w:r>
        <w:drawing>
          <wp:inline xmlns:a="http://schemas.openxmlformats.org/drawingml/2006/main" xmlns:pic="http://schemas.openxmlformats.org/drawingml/2006/picture">
            <wp:extent cx="5760000" cy="3552897"/>
            <wp:docPr id="9" name="Picture 9"/>
            <wp:cNvGraphicFramePr>
              <a:graphicFrameLocks noChangeAspect="1"/>
            </wp:cNvGraphicFramePr>
            <a:graphic>
              <a:graphicData uri="http://schemas.openxmlformats.org/drawingml/2006/picture">
                <pic:pic>
                  <pic:nvPicPr>
                    <pic:cNvPr id="0" name="figA_c2_jackknife.png"/>
                    <pic:cNvPicPr/>
                  </pic:nvPicPr>
                  <pic:blipFill>
                    <a:blip r:embed="rId18"/>
                    <a:stretch>
                      <a:fillRect/>
                    </a:stretch>
                  </pic:blipFill>
                  <pic:spPr>
                    <a:xfrm>
                      <a:off x="0" y="0"/>
                      <a:ext cx="5760000" cy="3552897"/>
                    </a:xfrm>
                    <a:prstGeom prst="rect"/>
                  </pic:spPr>
                </pic:pic>
              </a:graphicData>
            </a:graphic>
          </wp:inline>
        </w:drawing>
      </w:r>
    </w:p>
    <w:p>
      <w:pPr>
        <w:spacing w:before="0" w:after="200" w:line="240" w:lineRule="auto"/>
        <w:jc w:val="center"/>
      </w:pPr>
      <w:r>
        <w:rPr>
          <w:rFonts w:ascii="Times New Roman" w:hAnsi="Times New Roman"/>
          <w:b w:val="0"/>
          <w:i/>
          <w:sz w:val="20"/>
        </w:rPr>
        <w:t>Figure C2. Leave-one-out slopes, all 18 drops. Workbook F6.</w:t>
      </w:r>
    </w:p>
    <w:p>
      <w:pPr>
        <w:spacing w:before="160" w:after="40"/>
        <w:jc w:val="center"/>
      </w:pPr>
      <w:r>
        <w:drawing>
          <wp:inline xmlns:a="http://schemas.openxmlformats.org/drawingml/2006/main" xmlns:pic="http://schemas.openxmlformats.org/drawingml/2006/picture">
            <wp:extent cx="5760000" cy="3759308"/>
            <wp:docPr id="10" name="Picture 10"/>
            <wp:cNvGraphicFramePr>
              <a:graphicFrameLocks noChangeAspect="1"/>
            </wp:cNvGraphicFramePr>
            <a:graphic>
              <a:graphicData uri="http://schemas.openxmlformats.org/drawingml/2006/picture">
                <pic:pic>
                  <pic:nvPicPr>
                    <pic:cNvPr id="0" name="figA_c3_tailselection.png"/>
                    <pic:cNvPicPr/>
                  </pic:nvPicPr>
                  <pic:blipFill>
                    <a:blip r:embed="rId19"/>
                    <a:stretch>
                      <a:fillRect/>
                    </a:stretch>
                  </pic:blipFill>
                  <pic:spPr>
                    <a:xfrm>
                      <a:off x="0" y="0"/>
                      <a:ext cx="5760000" cy="3759308"/>
                    </a:xfrm>
                    <a:prstGeom prst="rect"/>
                  </pic:spPr>
                </pic:pic>
              </a:graphicData>
            </a:graphic>
          </wp:inline>
        </w:drawing>
      </w:r>
    </w:p>
    <w:p>
      <w:pPr>
        <w:spacing w:before="0" w:after="200" w:line="240" w:lineRule="auto"/>
        <w:jc w:val="center"/>
      </w:pPr>
      <w:r>
        <w:rPr>
          <w:rFonts w:ascii="Times New Roman" w:hAnsi="Times New Roman"/>
          <w:b w:val="0"/>
          <w:i/>
          <w:sz w:val="20"/>
        </w:rPr>
        <w:t>Figure C3. The six tail countries against the full cross-section. Workbook F6.</w:t>
      </w:r>
    </w:p>
    <w:p>
      <w:r>
        <w:br w:type="page"/>
      </w:r>
    </w:p>
    <w:p>
      <w:pPr>
        <w:spacing w:before="0" w:after="160"/>
        <w:jc w:val="left"/>
      </w:pPr>
      <w:r>
        <w:rPr>
          <w:rFonts w:ascii="Times New Roman" w:hAnsi="Times New Roman"/>
          <w:b/>
          <w:i w:val="0"/>
          <w:sz w:val="26"/>
        </w:rPr>
        <w:t>Appendix D. Reconciling the Exclusion Estimates</w:t>
      </w:r>
    </w:p>
    <w:p>
      <w:pPr>
        <w:spacing w:before="0" w:after="120"/>
        <w:jc w:val="both"/>
      </w:pPr>
      <w:r>
        <w:rPr>
          <w:rFonts w:ascii="Times New Roman" w:hAnsi="Times New Roman"/>
          <w:b w:val="0"/>
          <w:i w:val="0"/>
          <w:sz w:val="24"/>
        </w:rPr>
        <w:t>Section 4 reports five estimates of Danish digital exclusion ranging from 4.7% to 25%. They are not five measurements of one quantity, and this appendix sets out why, because the spread is the finding rather than an embarrassment.</w:t>
      </w:r>
    </w:p>
    <w:p>
      <w:pPr>
        <w:spacing w:before="160" w:after="80"/>
        <w:jc w:val="left"/>
      </w:pPr>
      <w:r>
        <w:rPr>
          <w:rFonts w:ascii="Times New Roman" w:hAnsi="Times New Roman"/>
          <w:b/>
          <w:i w:val="0"/>
          <w:sz w:val="24"/>
        </w:rPr>
        <w:t>D.1 The estimates differ in three ways at once</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pPr>
              <w:spacing w:line="240" w:lineRule="auto" w:after="40"/>
            </w:pPr>
            <w:r>
              <w:rPr>
                <w:rFonts w:ascii="Times New Roman" w:hAnsi="Times New Roman"/>
                <w:b/>
                <w:sz w:val="20"/>
              </w:rPr>
              <w:t>Estimate</w:t>
            </w:r>
          </w:p>
        </w:tc>
        <w:tc>
          <w:tcPr>
            <w:tcW w:type="dxa" w:w="1872"/>
          </w:tcPr>
          <w:p>
            <w:pPr>
              <w:spacing w:line="240" w:lineRule="auto" w:after="40"/>
            </w:pPr>
            <w:r>
              <w:rPr>
                <w:rFonts w:ascii="Times New Roman" w:hAnsi="Times New Roman"/>
                <w:b/>
                <w:sz w:val="20"/>
              </w:rPr>
              <w:t>Value</w:t>
            </w:r>
          </w:p>
        </w:tc>
        <w:tc>
          <w:tcPr>
            <w:tcW w:type="dxa" w:w="1872"/>
          </w:tcPr>
          <w:p>
            <w:pPr>
              <w:spacing w:line="240" w:lineRule="auto" w:after="40"/>
            </w:pPr>
            <w:r>
              <w:rPr>
                <w:rFonts w:ascii="Times New Roman" w:hAnsi="Times New Roman"/>
                <w:b/>
                <w:sz w:val="20"/>
              </w:rPr>
              <w:t>Year</w:t>
            </w:r>
          </w:p>
        </w:tc>
        <w:tc>
          <w:tcPr>
            <w:tcW w:type="dxa" w:w="1872"/>
          </w:tcPr>
          <w:p>
            <w:pPr>
              <w:spacing w:line="240" w:lineRule="auto" w:after="40"/>
            </w:pPr>
            <w:r>
              <w:rPr>
                <w:rFonts w:ascii="Times New Roman" w:hAnsi="Times New Roman"/>
                <w:b/>
                <w:sz w:val="20"/>
              </w:rPr>
              <w:t>Stated base</w:t>
            </w:r>
          </w:p>
        </w:tc>
        <w:tc>
          <w:tcPr>
            <w:tcW w:type="dxa" w:w="1872"/>
          </w:tcPr>
          <w:p>
            <w:pPr>
              <w:spacing w:line="240" w:lineRule="auto" w:after="40"/>
            </w:pPr>
            <w:r>
              <w:rPr>
                <w:rFonts w:ascii="Times New Roman" w:hAnsi="Times New Roman"/>
                <w:b/>
                <w:sz w:val="20"/>
              </w:rPr>
              <w:t>Source</w:t>
            </w:r>
          </w:p>
        </w:tc>
      </w:tr>
      <w:tr>
        <w:tc>
          <w:tcPr>
            <w:tcW w:type="dxa" w:w="1872"/>
          </w:tcPr>
          <w:p>
            <w:pPr>
              <w:spacing w:line="240" w:lineRule="auto" w:after="40"/>
            </w:pPr>
            <w:r>
              <w:rPr>
                <w:rFonts w:ascii="Times New Roman" w:hAnsi="Times New Roman"/>
                <w:b w:val="0"/>
                <w:sz w:val="20"/>
              </w:rPr>
              <w:t>Formally exempt from Digital Post</w:t>
            </w:r>
          </w:p>
        </w:tc>
        <w:tc>
          <w:tcPr>
            <w:tcW w:type="dxa" w:w="1872"/>
          </w:tcPr>
          <w:p>
            <w:pPr>
              <w:spacing w:line="240" w:lineRule="auto" w:after="40"/>
            </w:pPr>
            <w:r>
              <w:rPr>
                <w:rFonts w:ascii="Times New Roman" w:hAnsi="Times New Roman"/>
                <w:b w:val="0"/>
                <w:sz w:val="20"/>
              </w:rPr>
              <w:t>4.7%</w:t>
            </w:r>
          </w:p>
        </w:tc>
        <w:tc>
          <w:tcPr>
            <w:tcW w:type="dxa" w:w="1872"/>
          </w:tcPr>
          <w:p>
            <w:pPr>
              <w:spacing w:line="240" w:lineRule="auto" w:after="40"/>
            </w:pPr>
            <w:r>
              <w:rPr>
                <w:rFonts w:ascii="Times New Roman" w:hAnsi="Times New Roman"/>
                <w:b w:val="0"/>
                <w:sz w:val="20"/>
              </w:rPr>
              <w:t>2026</w:t>
            </w:r>
          </w:p>
        </w:tc>
        <w:tc>
          <w:tcPr>
            <w:tcW w:type="dxa" w:w="1872"/>
          </w:tcPr>
          <w:p>
            <w:pPr>
              <w:spacing w:line="240" w:lineRule="auto" w:after="40"/>
            </w:pPr>
            <w:r>
              <w:rPr>
                <w:rFonts w:ascii="Times New Roman" w:hAnsi="Times New Roman"/>
                <w:b w:val="0"/>
                <w:sz w:val="20"/>
              </w:rPr>
              <w:t>Citizens aged 15+</w:t>
            </w:r>
          </w:p>
        </w:tc>
        <w:tc>
          <w:tcPr>
            <w:tcW w:type="dxa" w:w="1872"/>
          </w:tcPr>
          <w:p>
            <w:pPr>
              <w:spacing w:line="240" w:lineRule="auto" w:after="40"/>
            </w:pPr>
            <w:r>
              <w:rPr>
                <w:rFonts w:ascii="Times New Roman" w:hAnsi="Times New Roman"/>
                <w:b w:val="0"/>
                <w:sz w:val="20"/>
              </w:rPr>
              <w:t>Digitaliseringsstyrelsen 2026</w:t>
            </w:r>
          </w:p>
        </w:tc>
      </w:tr>
      <w:tr>
        <w:tc>
          <w:tcPr>
            <w:tcW w:type="dxa" w:w="1872"/>
          </w:tcPr>
          <w:p>
            <w:pPr>
              <w:spacing w:line="240" w:lineRule="auto" w:after="40"/>
            </w:pPr>
            <w:r>
              <w:rPr>
                <w:rFonts w:ascii="Times New Roman" w:hAnsi="Times New Roman"/>
                <w:b w:val="0"/>
                <w:sz w:val="20"/>
              </w:rPr>
              <w:t>Do not use digital public services</w:t>
            </w:r>
          </w:p>
        </w:tc>
        <w:tc>
          <w:tcPr>
            <w:tcW w:type="dxa" w:w="1872"/>
          </w:tcPr>
          <w:p>
            <w:pPr>
              <w:spacing w:line="240" w:lineRule="auto" w:after="40"/>
            </w:pPr>
            <w:r>
              <w:rPr>
                <w:rFonts w:ascii="Times New Roman" w:hAnsi="Times New Roman"/>
                <w:b w:val="0"/>
                <w:sz w:val="20"/>
              </w:rPr>
              <w:t>6.5%</w:t>
            </w:r>
          </w:p>
        </w:tc>
        <w:tc>
          <w:tcPr>
            <w:tcW w:type="dxa" w:w="1872"/>
          </w:tcPr>
          <w:p>
            <w:pPr>
              <w:spacing w:line="240" w:lineRule="auto" w:after="40"/>
            </w:pPr>
            <w:r>
              <w:rPr>
                <w:rFonts w:ascii="Times New Roman" w:hAnsi="Times New Roman"/>
                <w:b w:val="0"/>
                <w:sz w:val="20"/>
              </w:rPr>
              <w:t>2026</w:t>
            </w:r>
          </w:p>
        </w:tc>
        <w:tc>
          <w:tcPr>
            <w:tcW w:type="dxa" w:w="1872"/>
          </w:tcPr>
          <w:p>
            <w:pPr>
              <w:spacing w:line="240" w:lineRule="auto" w:after="40"/>
            </w:pPr>
            <w:r>
              <w:rPr>
                <w:rFonts w:ascii="Times New Roman" w:hAnsi="Times New Roman"/>
                <w:b w:val="0"/>
                <w:sz w:val="20"/>
              </w:rPr>
              <w:t>Population</w:t>
            </w:r>
          </w:p>
        </w:tc>
        <w:tc>
          <w:tcPr>
            <w:tcW w:type="dxa" w:w="1872"/>
          </w:tcPr>
          <w:p>
            <w:pPr>
              <w:spacing w:line="240" w:lineRule="auto" w:after="40"/>
            </w:pPr>
            <w:r>
              <w:rPr>
                <w:rFonts w:ascii="Times New Roman" w:hAnsi="Times New Roman"/>
                <w:b w:val="0"/>
                <w:sz w:val="20"/>
              </w:rPr>
              <w:t>European Commission 2026</w:t>
            </w:r>
          </w:p>
        </w:tc>
      </w:tr>
      <w:tr>
        <w:tc>
          <w:tcPr>
            <w:tcW w:type="dxa" w:w="1872"/>
          </w:tcPr>
          <w:p>
            <w:pPr>
              <w:spacing w:line="240" w:lineRule="auto" w:after="40"/>
            </w:pPr>
            <w:r>
              <w:rPr>
                <w:rFonts w:ascii="Times New Roman" w:hAnsi="Times New Roman"/>
                <w:b w:val="0"/>
                <w:sz w:val="20"/>
              </w:rPr>
              <w:t>Report difficulty using them</w:t>
            </w:r>
          </w:p>
        </w:tc>
        <w:tc>
          <w:tcPr>
            <w:tcW w:type="dxa" w:w="1872"/>
          </w:tcPr>
          <w:p>
            <w:pPr>
              <w:spacing w:line="240" w:lineRule="auto" w:after="40"/>
            </w:pPr>
            <w:r>
              <w:rPr>
                <w:rFonts w:ascii="Times New Roman" w:hAnsi="Times New Roman"/>
                <w:b w:val="0"/>
                <w:sz w:val="20"/>
              </w:rPr>
              <w:t>16.5%</w:t>
            </w:r>
          </w:p>
        </w:tc>
        <w:tc>
          <w:tcPr>
            <w:tcW w:type="dxa" w:w="1872"/>
          </w:tcPr>
          <w:p>
            <w:pPr>
              <w:spacing w:line="240" w:lineRule="auto" w:after="40"/>
            </w:pPr>
            <w:r>
              <w:rPr>
                <w:rFonts w:ascii="Times New Roman" w:hAnsi="Times New Roman"/>
                <w:b w:val="0"/>
                <w:sz w:val="20"/>
              </w:rPr>
              <w:t>2026</w:t>
            </w:r>
          </w:p>
        </w:tc>
        <w:tc>
          <w:tcPr>
            <w:tcW w:type="dxa" w:w="1872"/>
          </w:tcPr>
          <w:p>
            <w:pPr>
              <w:spacing w:line="240" w:lineRule="auto" w:after="40"/>
            </w:pPr>
            <w:r>
              <w:rPr>
                <w:rFonts w:ascii="Times New Roman" w:hAnsi="Times New Roman"/>
                <w:b w:val="0"/>
                <w:sz w:val="20"/>
              </w:rPr>
              <w:t>Population</w:t>
            </w:r>
          </w:p>
        </w:tc>
        <w:tc>
          <w:tcPr>
            <w:tcW w:type="dxa" w:w="1872"/>
          </w:tcPr>
          <w:p>
            <w:pPr>
              <w:spacing w:line="240" w:lineRule="auto" w:after="40"/>
            </w:pPr>
            <w:r>
              <w:rPr>
                <w:rFonts w:ascii="Times New Roman" w:hAnsi="Times New Roman"/>
                <w:b w:val="0"/>
                <w:sz w:val="20"/>
              </w:rPr>
              <w:t>European Commission 2026</w:t>
            </w:r>
          </w:p>
        </w:tc>
      </w:tr>
      <w:tr>
        <w:tc>
          <w:tcPr>
            <w:tcW w:type="dxa" w:w="1872"/>
          </w:tcPr>
          <w:p>
            <w:pPr>
              <w:spacing w:line="240" w:lineRule="auto" w:after="40"/>
            </w:pPr>
            <w:r>
              <w:rPr>
                <w:rFonts w:ascii="Times New Roman" w:hAnsi="Times New Roman"/>
                <w:b w:val="0"/>
                <w:sz w:val="20"/>
              </w:rPr>
              <w:t>"Digitally disadvantaged"</w:t>
            </w:r>
          </w:p>
        </w:tc>
        <w:tc>
          <w:tcPr>
            <w:tcW w:type="dxa" w:w="1872"/>
          </w:tcPr>
          <w:p>
            <w:pPr>
              <w:spacing w:line="240" w:lineRule="auto" w:after="40"/>
            </w:pPr>
            <w:r>
              <w:rPr>
                <w:rFonts w:ascii="Times New Roman" w:hAnsi="Times New Roman"/>
                <w:b w:val="0"/>
                <w:sz w:val="20"/>
              </w:rPr>
              <w:t>17-22%</w:t>
            </w:r>
          </w:p>
        </w:tc>
        <w:tc>
          <w:tcPr>
            <w:tcW w:type="dxa" w:w="1872"/>
          </w:tcPr>
          <w:p>
            <w:pPr>
              <w:spacing w:line="240" w:lineRule="auto" w:after="40"/>
            </w:pPr>
            <w:r>
              <w:rPr>
                <w:rFonts w:ascii="Times New Roman" w:hAnsi="Times New Roman"/>
                <w:b w:val="0"/>
                <w:sz w:val="20"/>
              </w:rPr>
              <w:t>2025</w:t>
            </w:r>
          </w:p>
        </w:tc>
        <w:tc>
          <w:tcPr>
            <w:tcW w:type="dxa" w:w="1872"/>
          </w:tcPr>
          <w:p>
            <w:pPr>
              <w:spacing w:line="240" w:lineRule="auto" w:after="40"/>
            </w:pPr>
            <w:r>
              <w:rPr>
                <w:rFonts w:ascii="Times New Roman" w:hAnsi="Times New Roman"/>
                <w:b w:val="0"/>
                <w:sz w:val="20"/>
              </w:rPr>
              <w:t>Adult population</w:t>
            </w:r>
          </w:p>
        </w:tc>
        <w:tc>
          <w:tcPr>
            <w:tcW w:type="dxa" w:w="1872"/>
          </w:tcPr>
          <w:p>
            <w:pPr>
              <w:spacing w:line="240" w:lineRule="auto" w:after="40"/>
            </w:pPr>
            <w:r>
              <w:rPr>
                <w:rFonts w:ascii="Times New Roman" w:hAnsi="Times New Roman"/>
                <w:b w:val="0"/>
                <w:sz w:val="20"/>
              </w:rPr>
              <w:t>Digitaliseringsstyrelsen 2025c</w:t>
            </w:r>
          </w:p>
        </w:tc>
      </w:tr>
      <w:tr>
        <w:tc>
          <w:tcPr>
            <w:tcW w:type="dxa" w:w="1872"/>
          </w:tcPr>
          <w:p>
            <w:pPr>
              <w:spacing w:line="240" w:lineRule="auto" w:after="40"/>
            </w:pPr>
            <w:r>
              <w:rPr>
                <w:rFonts w:ascii="Times New Roman" w:hAnsi="Times New Roman"/>
                <w:b w:val="0"/>
                <w:sz w:val="20"/>
              </w:rPr>
              <w:t>Justitia estimate</w:t>
            </w:r>
          </w:p>
        </w:tc>
        <w:tc>
          <w:tcPr>
            <w:tcW w:type="dxa" w:w="1872"/>
          </w:tcPr>
          <w:p>
            <w:pPr>
              <w:spacing w:line="240" w:lineRule="auto" w:after="40"/>
            </w:pPr>
            <w:r>
              <w:rPr>
                <w:rFonts w:ascii="Times New Roman" w:hAnsi="Times New Roman"/>
                <w:b w:val="0"/>
                <w:sz w:val="20"/>
              </w:rPr>
              <w:t>Up to 25%</w:t>
            </w:r>
          </w:p>
        </w:tc>
        <w:tc>
          <w:tcPr>
            <w:tcW w:type="dxa" w:w="1872"/>
          </w:tcPr>
          <w:p>
            <w:pPr>
              <w:spacing w:line="240" w:lineRule="auto" w:after="40"/>
            </w:pPr>
            <w:r>
              <w:rPr>
                <w:rFonts w:ascii="Times New Roman" w:hAnsi="Times New Roman"/>
                <w:b w:val="0"/>
                <w:sz w:val="20"/>
              </w:rPr>
              <w:t>2022</w:t>
            </w:r>
          </w:p>
        </w:tc>
        <w:tc>
          <w:tcPr>
            <w:tcW w:type="dxa" w:w="1872"/>
          </w:tcPr>
          <w:p>
            <w:pPr>
              <w:spacing w:line="240" w:lineRule="auto" w:after="40"/>
            </w:pPr>
            <w:r>
              <w:rPr>
                <w:rFonts w:ascii="Times New Roman" w:hAnsi="Times New Roman"/>
                <w:b w:val="0"/>
                <w:sz w:val="20"/>
              </w:rPr>
              <w:t>Adult population</w:t>
            </w:r>
          </w:p>
        </w:tc>
        <w:tc>
          <w:tcPr>
            <w:tcW w:type="dxa" w:w="1872"/>
          </w:tcPr>
          <w:p>
            <w:pPr>
              <w:spacing w:line="240" w:lineRule="auto" w:after="40"/>
            </w:pPr>
            <w:r>
              <w:rPr>
                <w:rFonts w:ascii="Times New Roman" w:hAnsi="Times New Roman"/>
                <w:b w:val="0"/>
                <w:sz w:val="20"/>
              </w:rPr>
              <w:t>Justitia 2022</w:t>
            </w:r>
          </w:p>
        </w:tc>
      </w:tr>
    </w:tbl>
    <w:p>
      <w:pPr>
        <w:spacing w:before="0" w:after="0"/>
        <w:jc w:val="both"/>
      </w:pPr>
      <w:r>
        <w:rPr>
          <w:rFonts w:ascii="Times New Roman" w:hAnsi="Times New Roman"/>
          <w:b w:val="0"/>
          <w:i w:val="0"/>
          <w:sz w:val="12"/>
        </w:rPr>
      </w:r>
    </w:p>
    <w:p>
      <w:pPr>
        <w:spacing w:before="0" w:after="120"/>
        <w:jc w:val="both"/>
      </w:pPr>
      <w:r>
        <w:rPr>
          <w:rFonts w:ascii="Times New Roman" w:hAnsi="Times New Roman"/>
          <w:b w:val="0"/>
          <w:i w:val="0"/>
          <w:sz w:val="24"/>
        </w:rPr>
        <w:t>Three things vary together: what is being measured (a legal status, a behaviour, a self-reported difficulty, an analyst's category), the year, and the denominator. Any one of the three would make them non-comparable; all three together mean the ladder cannot be read as a series and the differences between its rungs cannot be taken.</w:t>
      </w:r>
    </w:p>
    <w:p>
      <w:pPr>
        <w:spacing w:before="160" w:after="80"/>
        <w:jc w:val="left"/>
      </w:pPr>
      <w:r>
        <w:rPr>
          <w:rFonts w:ascii="Times New Roman" w:hAnsi="Times New Roman"/>
          <w:b/>
          <w:i w:val="0"/>
          <w:sz w:val="24"/>
        </w:rPr>
        <w:t>D.2 What that rules out</w:t>
      </w:r>
    </w:p>
    <w:p>
      <w:pPr>
        <w:spacing w:before="0" w:after="120"/>
        <w:jc w:val="both"/>
      </w:pPr>
      <w:r>
        <w:rPr>
          <w:rFonts w:ascii="Times New Roman" w:hAnsi="Times New Roman"/>
          <w:b w:val="0"/>
          <w:i w:val="0"/>
          <w:sz w:val="24"/>
        </w:rPr>
        <w:t>An earlier draft of Section 4 subtracted 4.7% from 16.5% and multiplied the 11.8-percentage-point gap by the 15+ base to obtain "roughly 600,000 citizens." That calculation is invalid twice over. The two rates rest on different denominators, so their difference is not a quantity; and applying the 15+ base to a percentage defined on the total population understates the count. The corrected figures appear in Section 4 as two separate counts rather than a difference.</w:t>
      </w:r>
    </w:p>
    <w:p>
      <w:pPr>
        <w:spacing w:before="160" w:after="80"/>
        <w:jc w:val="left"/>
      </w:pPr>
      <w:r>
        <w:rPr>
          <w:rFonts w:ascii="Times New Roman" w:hAnsi="Times New Roman"/>
          <w:b/>
          <w:i w:val="0"/>
          <w:sz w:val="24"/>
        </w:rPr>
        <w:t>D.3 The ladder in people</w:t>
      </w:r>
    </w:p>
    <w:p>
      <w:pPr>
        <w:spacing w:before="0" w:after="120"/>
        <w:jc w:val="both"/>
      </w:pPr>
      <w:r>
        <w:rPr>
          <w:rFonts w:ascii="Times New Roman" w:hAnsi="Times New Roman"/>
          <w:b w:val="0"/>
          <w:i w:val="0"/>
          <w:sz w:val="24"/>
        </w:rPr>
        <w:t>Figure D1</w:t>
      </w:r>
    </w:p>
    <w:p>
      <w:pPr>
        <w:spacing w:before="0" w:after="120"/>
        <w:jc w:val="both"/>
      </w:pPr>
      <w:r>
        <w:rPr>
          <w:rFonts w:ascii="Times New Roman" w:hAnsi="Times New Roman"/>
          <w:b w:val="0"/>
          <w:i w:val="0"/>
          <w:sz w:val="24"/>
        </w:rPr>
        <w:t>Converting each estimate to a headcount on its own stated base makes the comparison legitimate, because counts of people share a unit where percentages of different populations do not.</w:t>
      </w:r>
    </w:p>
    <w:p>
      <w:pPr>
        <w:spacing w:before="0" w:after="120"/>
        <w:jc w:val="both"/>
      </w:pPr>
      <w:r>
        <w:rPr>
          <w:rFonts w:ascii="Times New Roman" w:hAnsi="Times New Roman"/>
          <w:b w:val="0"/>
          <w:i w:val="0"/>
          <w:sz w:val="24"/>
        </w:rPr>
        <w:t>Two of the five sources say "adult population" without defining it, and Denmark has no verified adult-population figure in this dataset. Those two are therefore shown as a range between the two defensible bases: the 15+ base of about 5.07 million implied by the Digital Post statistics, and the total population of 6,025,603 (Danmarks Statistik 2026). Choosing one silently is the error D.2 describes.</w:t>
      </w:r>
    </w:p>
    <w:p>
      <w:pPr>
        <w:spacing w:before="160" w:after="80"/>
        <w:jc w:val="left"/>
      </w:pPr>
      <w:r>
        <w:rPr>
          <w:rFonts w:ascii="Times New Roman" w:hAnsi="Times New Roman"/>
          <w:b/>
          <w:i w:val="0"/>
          <w:sz w:val="24"/>
        </w:rPr>
        <w:t>D.4 What survives</w:t>
      </w:r>
    </w:p>
    <w:p>
      <w:pPr>
        <w:spacing w:before="0" w:after="120"/>
        <w:jc w:val="both"/>
      </w:pPr>
      <w:r>
        <w:rPr>
          <w:rFonts w:ascii="Times New Roman" w:hAnsi="Times New Roman"/>
          <w:b w:val="0"/>
          <w:i w:val="0"/>
          <w:sz w:val="24"/>
        </w:rPr>
        <w:t>Exemption reaches 238,479 people. The narrowest estimate of need that measures difficulty rather than legal status is 16.5%, or roughly 994,000 on the stated base. The gap between the relief mechanism and the difficulty it relieves is therefore on the order of three-quarters of a million people, and that statement holds under any of the bases considered here, which is why Section 4 makes it in that form rather than as a precise subtraction.</w:t>
      </w:r>
    </w:p>
    <w:p>
      <w:pPr>
        <w:spacing w:before="160" w:after="40"/>
        <w:jc w:val="center"/>
      </w:pPr>
      <w:r>
        <w:drawing>
          <wp:inline xmlns:a="http://schemas.openxmlformats.org/drawingml/2006/main" xmlns:pic="http://schemas.openxmlformats.org/drawingml/2006/picture">
            <wp:extent cx="5760000" cy="3292282"/>
            <wp:docPr id="11" name="Picture 11"/>
            <wp:cNvGraphicFramePr>
              <a:graphicFrameLocks noChangeAspect="1"/>
            </wp:cNvGraphicFramePr>
            <a:graphic>
              <a:graphicData uri="http://schemas.openxmlformats.org/drawingml/2006/picture">
                <pic:pic>
                  <pic:nvPicPr>
                    <pic:cNvPr id="0" name="figA_d1_denominators.png"/>
                    <pic:cNvPicPr/>
                  </pic:nvPicPr>
                  <pic:blipFill>
                    <a:blip r:embed="rId20"/>
                    <a:stretch>
                      <a:fillRect/>
                    </a:stretch>
                  </pic:blipFill>
                  <pic:spPr>
                    <a:xfrm>
                      <a:off x="0" y="0"/>
                      <a:ext cx="5760000" cy="3292282"/>
                    </a:xfrm>
                    <a:prstGeom prst="rect"/>
                  </pic:spPr>
                </pic:pic>
              </a:graphicData>
            </a:graphic>
          </wp:inline>
        </w:drawing>
      </w:r>
    </w:p>
    <w:p>
      <w:pPr>
        <w:spacing w:before="0" w:after="200" w:line="240" w:lineRule="auto"/>
        <w:jc w:val="center"/>
      </w:pPr>
      <w:r>
        <w:rPr>
          <w:rFonts w:ascii="Times New Roman" w:hAnsi="Times New Roman"/>
          <w:b w:val="0"/>
          <w:i/>
          <w:sz w:val="20"/>
        </w:rPr>
        <w:t>Figure D1. The exclusion estimates converted to people on their own bases.</w:t>
      </w:r>
    </w:p>
    <w:p>
      <w:r>
        <w:br w:type="page"/>
      </w:r>
    </w:p>
    <w:p>
      <w:pPr>
        <w:spacing w:before="0" w:after="160"/>
        <w:jc w:val="left"/>
      </w:pPr>
      <w:r>
        <w:rPr>
          <w:rFonts w:ascii="Times New Roman" w:hAnsi="Times New Roman"/>
          <w:b/>
          <w:i w:val="0"/>
          <w:sz w:val="26"/>
        </w:rPr>
        <w:t>Appendix F. Policy Specification and Implementation Timeline</w:t>
      </w:r>
    </w:p>
    <w:p>
      <w:pPr>
        <w:spacing w:before="0" w:after="120"/>
        <w:jc w:val="both"/>
      </w:pPr>
      <w:r>
        <w:rPr>
          <w:rFonts w:ascii="Times New Roman" w:hAnsi="Times New Roman"/>
          <w:b w:val="0"/>
          <w:i w:val="0"/>
          <w:sz w:val="24"/>
        </w:rPr>
        <w:t>Section 6 recommends two measures. The second of these, restructuring SMV:Digital's allocation so that the scheme can measure its own effect, is a research design as much as a policy, and a design is only as good as its specification. This appendix states it at the level of detail an administering agency would need to act on it.</w:t>
      </w:r>
    </w:p>
    <w:p>
      <w:pPr>
        <w:spacing w:before="160" w:after="80"/>
        <w:jc w:val="left"/>
      </w:pPr>
      <w:r>
        <w:rPr>
          <w:rFonts w:ascii="Times New Roman" w:hAnsi="Times New Roman"/>
          <w:b/>
          <w:i w:val="0"/>
          <w:sz w:val="24"/>
        </w:rPr>
        <w:t>F.1 What the present scheme can and cannot establish</w:t>
      </w:r>
    </w:p>
    <w:p>
      <w:pPr>
        <w:spacing w:before="0" w:after="120"/>
        <w:jc w:val="both"/>
      </w:pPr>
      <w:r>
        <w:rPr>
          <w:rFonts w:ascii="Times New Roman" w:hAnsi="Times New Roman"/>
          <w:b w:val="0"/>
          <w:i w:val="0"/>
          <w:sz w:val="24"/>
        </w:rPr>
        <w:t>SMV:Digital is better evaluated than most such schemes. Digitaliseringsstyrelsen links recipients to Danmarks Statistik registers and compares them with matched control firms, reporting revenue growth of 18% against the controls' 13%, a gap of five percentage points, and employment growth of 8% against 4% (Digitaliseringsstyrelsen 2025b). That is register data with a comparison group, and it disposes of the naive reading of the scheme's own headline, that 65% of participants invested further, which compares applicants with the general SME population and is besides self-reported to the scheme's own funder.</w:t>
      </w:r>
    </w:p>
    <w:p>
      <w:pPr>
        <w:spacing w:before="0" w:after="120"/>
        <w:jc w:val="both"/>
      </w:pPr>
      <w:r>
        <w:rPr>
          <w:rFonts w:ascii="Times New Roman" w:hAnsi="Times New Roman"/>
          <w:b w:val="0"/>
          <w:i w:val="0"/>
          <w:sz w:val="24"/>
        </w:rPr>
        <w:t>The residual problem is the one matching cannot reach. Recipients are matched on what the registers record: sector, size, age, prior trajectory. Selection into a voluntary scheme runs on what they do not record: managerial ambition, an existing digitalisation plan, the slack to write an application. Those are precisely the traits that also produce revenue growth, so the matched estimate retains an upward bias of unknown size. Closing it requires variation in funding that is independent of the firm, and matching cannot manufacture that.</w:t>
      </w:r>
    </w:p>
    <w:p>
      <w:pPr>
        <w:spacing w:before="0" w:after="120"/>
        <w:jc w:val="both"/>
      </w:pPr>
      <w:r>
        <w:rPr>
          <w:rFonts w:ascii="Times New Roman" w:hAnsi="Times New Roman"/>
          <w:b w:val="0"/>
          <w:i w:val="0"/>
          <w:sz w:val="24"/>
        </w:rPr>
        <w:t>Figure F1</w:t>
      </w:r>
    </w:p>
    <w:p>
      <w:pPr>
        <w:spacing w:before="160" w:after="80"/>
        <w:jc w:val="left"/>
      </w:pPr>
      <w:r>
        <w:rPr>
          <w:rFonts w:ascii="Times New Roman" w:hAnsi="Times New Roman"/>
          <w:b/>
          <w:i w:val="0"/>
          <w:sz w:val="24"/>
        </w:rPr>
        <w:t>F.2 The instrument</w:t>
      </w:r>
    </w:p>
    <w:tbl>
      <w:tblPr>
        <w:tblStyle w:val="TableGrid"/>
        <w:tblW w:type="auto" w:w="0"/>
        <w:tblLook w:firstColumn="1" w:firstRow="1" w:lastColumn="0" w:lastRow="0" w:noHBand="0" w:noVBand="1" w:val="04A0"/>
      </w:tblPr>
      <w:tblGrid>
        <w:gridCol w:w="4680"/>
        <w:gridCol w:w="4680"/>
      </w:tblGrid>
      <w:tr>
        <w:tc>
          <w:tcPr>
            <w:tcW w:type="dxa" w:w="4680"/>
          </w:tcPr>
          <w:p>
            <w:pPr>
              <w:spacing w:line="240" w:lineRule="auto" w:after="40"/>
            </w:pPr>
            <w:r>
              <w:rPr>
                <w:rFonts w:ascii="Times New Roman" w:hAnsi="Times New Roman"/>
                <w:b/>
                <w:sz w:val="20"/>
              </w:rPr>
              <w:t>Element</w:t>
            </w:r>
          </w:p>
        </w:tc>
        <w:tc>
          <w:tcPr>
            <w:tcW w:type="dxa" w:w="4680"/>
          </w:tcPr>
          <w:p>
            <w:pPr>
              <w:spacing w:line="240" w:lineRule="auto" w:after="40"/>
            </w:pPr>
            <w:r>
              <w:rPr>
                <w:rFonts w:ascii="Times New Roman" w:hAnsi="Times New Roman"/>
                <w:b/>
                <w:sz w:val="20"/>
              </w:rPr>
              <w:t>Specification</w:t>
            </w:r>
          </w:p>
        </w:tc>
      </w:tr>
      <w:tr>
        <w:tc>
          <w:tcPr>
            <w:tcW w:type="dxa" w:w="4680"/>
          </w:tcPr>
          <w:p>
            <w:pPr>
              <w:spacing w:line="240" w:lineRule="auto" w:after="40"/>
            </w:pPr>
            <w:r>
              <w:rPr>
                <w:rFonts w:ascii="Times New Roman" w:hAnsi="Times New Roman"/>
                <w:b w:val="0"/>
                <w:sz w:val="20"/>
              </w:rPr>
              <w:t>Instrument</w:t>
            </w:r>
          </w:p>
        </w:tc>
        <w:tc>
          <w:tcPr>
            <w:tcW w:type="dxa" w:w="4680"/>
          </w:tcPr>
          <w:p>
            <w:pPr>
              <w:spacing w:line="240" w:lineRule="auto" w:after="40"/>
            </w:pPr>
            <w:r>
              <w:rPr>
                <w:rFonts w:ascii="Times New Roman" w:hAnsi="Times New Roman"/>
                <w:b w:val="0"/>
                <w:sz w:val="20"/>
              </w:rPr>
              <w:t>Regression discontinuity at the eligibility scoring threshold</w:t>
            </w:r>
          </w:p>
        </w:tc>
      </w:tr>
      <w:tr>
        <w:tc>
          <w:tcPr>
            <w:tcW w:type="dxa" w:w="4680"/>
          </w:tcPr>
          <w:p>
            <w:pPr>
              <w:spacing w:line="240" w:lineRule="auto" w:after="40"/>
            </w:pPr>
            <w:r>
              <w:rPr>
                <w:rFonts w:ascii="Times New Roman" w:hAnsi="Times New Roman"/>
                <w:b w:val="0"/>
                <w:sz w:val="20"/>
              </w:rPr>
              <w:t>Legal vehicle</w:t>
            </w:r>
          </w:p>
        </w:tc>
        <w:tc>
          <w:tcPr>
            <w:tcW w:type="dxa" w:w="4680"/>
          </w:tcPr>
          <w:p>
            <w:pPr>
              <w:spacing w:line="240" w:lineRule="auto" w:after="40"/>
            </w:pPr>
            <w:r>
              <w:rPr>
                <w:rFonts w:ascii="Times New Roman" w:hAnsi="Times New Roman"/>
                <w:b w:val="0"/>
                <w:sz w:val="20"/>
              </w:rPr>
              <w:t>Administrative amendment to scheme guidelines; no primary legislation</w:t>
            </w:r>
          </w:p>
        </w:tc>
      </w:tr>
      <w:tr>
        <w:tc>
          <w:tcPr>
            <w:tcW w:type="dxa" w:w="4680"/>
          </w:tcPr>
          <w:p>
            <w:pPr>
              <w:spacing w:line="240" w:lineRule="auto" w:after="40"/>
            </w:pPr>
            <w:r>
              <w:rPr>
                <w:rFonts w:ascii="Times New Roman" w:hAnsi="Times New Roman"/>
                <w:b w:val="0"/>
                <w:sz w:val="20"/>
              </w:rPr>
              <w:t>Administering body</w:t>
            </w:r>
          </w:p>
        </w:tc>
        <w:tc>
          <w:tcPr>
            <w:tcW w:type="dxa" w:w="4680"/>
          </w:tcPr>
          <w:p>
            <w:pPr>
              <w:spacing w:line="240" w:lineRule="auto" w:after="40"/>
            </w:pPr>
            <w:r>
              <w:rPr>
                <w:rFonts w:ascii="Times New Roman" w:hAnsi="Times New Roman"/>
                <w:b w:val="0"/>
                <w:sz w:val="20"/>
              </w:rPr>
              <w:t>Erhvervsstyrelsen, via the SMV:Digital secretariat</w:t>
            </w:r>
          </w:p>
        </w:tc>
      </w:tr>
      <w:tr>
        <w:tc>
          <w:tcPr>
            <w:tcW w:type="dxa" w:w="4680"/>
          </w:tcPr>
          <w:p>
            <w:pPr>
              <w:spacing w:line="240" w:lineRule="auto" w:after="40"/>
            </w:pPr>
            <w:r>
              <w:rPr>
                <w:rFonts w:ascii="Times New Roman" w:hAnsi="Times New Roman"/>
                <w:b w:val="0"/>
                <w:sz w:val="20"/>
              </w:rPr>
              <w:t>Trigger condition</w:t>
            </w:r>
          </w:p>
        </w:tc>
        <w:tc>
          <w:tcPr>
            <w:tcW w:type="dxa" w:w="4680"/>
          </w:tcPr>
          <w:p>
            <w:pPr>
              <w:spacing w:line="240" w:lineRule="auto" w:after="40"/>
            </w:pPr>
            <w:r>
              <w:rPr>
                <w:rFonts w:ascii="Times New Roman" w:hAnsi="Times New Roman"/>
                <w:b w:val="0"/>
                <w:sz w:val="20"/>
              </w:rPr>
              <w:t>Applied where applications are scored and the pool is oversubscribed</w:t>
            </w:r>
          </w:p>
        </w:tc>
      </w:tr>
      <w:tr>
        <w:tc>
          <w:tcPr>
            <w:tcW w:type="dxa" w:w="4680"/>
          </w:tcPr>
          <w:p>
            <w:pPr>
              <w:spacing w:line="240" w:lineRule="auto" w:after="40"/>
            </w:pPr>
            <w:r>
              <w:rPr>
                <w:rFonts w:ascii="Times New Roman" w:hAnsi="Times New Roman"/>
                <w:b w:val="0"/>
                <w:sz w:val="20"/>
              </w:rPr>
              <w:t>Eligibility</w:t>
            </w:r>
          </w:p>
        </w:tc>
        <w:tc>
          <w:tcPr>
            <w:tcW w:type="dxa" w:w="4680"/>
          </w:tcPr>
          <w:p>
            <w:pPr>
              <w:spacing w:line="240" w:lineRule="auto" w:after="40"/>
            </w:pPr>
            <w:r>
              <w:rPr>
                <w:rFonts w:ascii="Times New Roman" w:hAnsi="Times New Roman"/>
                <w:b w:val="0"/>
                <w:sz w:val="20"/>
              </w:rPr>
              <w:t>Unchanged from the present scheme criteria</w:t>
            </w:r>
          </w:p>
        </w:tc>
      </w:tr>
      <w:tr>
        <w:tc>
          <w:tcPr>
            <w:tcW w:type="dxa" w:w="4680"/>
          </w:tcPr>
          <w:p>
            <w:pPr>
              <w:spacing w:line="240" w:lineRule="auto" w:after="40"/>
            </w:pPr>
            <w:r>
              <w:rPr>
                <w:rFonts w:ascii="Times New Roman" w:hAnsi="Times New Roman"/>
                <w:b w:val="0"/>
                <w:sz w:val="20"/>
              </w:rPr>
              <w:t>Allocation</w:t>
            </w:r>
          </w:p>
        </w:tc>
        <w:tc>
          <w:tcPr>
            <w:tcW w:type="dxa" w:w="4680"/>
          </w:tcPr>
          <w:p>
            <w:pPr>
              <w:spacing w:line="240" w:lineRule="auto" w:after="40"/>
            </w:pPr>
            <w:r>
              <w:rPr>
                <w:rFonts w:ascii="Times New Roman" w:hAnsi="Times New Roman"/>
                <w:b w:val="0"/>
                <w:sz w:val="20"/>
              </w:rPr>
              <w:t>Unchanged: highest-scoring applicants funded until the pool is exhausted</w:t>
            </w:r>
          </w:p>
        </w:tc>
      </w:tr>
      <w:tr>
        <w:tc>
          <w:tcPr>
            <w:tcW w:type="dxa" w:w="4680"/>
          </w:tcPr>
          <w:p>
            <w:pPr>
              <w:spacing w:line="240" w:lineRule="auto" w:after="40"/>
            </w:pPr>
            <w:r>
              <w:rPr>
                <w:rFonts w:ascii="Times New Roman" w:hAnsi="Times New Roman"/>
                <w:b w:val="0"/>
                <w:sz w:val="20"/>
              </w:rPr>
              <w:t>Treatment arm</w:t>
            </w:r>
          </w:p>
        </w:tc>
        <w:tc>
          <w:tcPr>
            <w:tcW w:type="dxa" w:w="4680"/>
          </w:tcPr>
          <w:p>
            <w:pPr>
              <w:spacing w:line="240" w:lineRule="auto" w:after="40"/>
            </w:pPr>
            <w:r>
              <w:rPr>
                <w:rFonts w:ascii="Times New Roman" w:hAnsi="Times New Roman"/>
                <w:b w:val="0"/>
                <w:sz w:val="20"/>
              </w:rPr>
              <w:t>Applicants scoring just above the funding cut-off</w:t>
            </w:r>
          </w:p>
        </w:tc>
      </w:tr>
      <w:tr>
        <w:tc>
          <w:tcPr>
            <w:tcW w:type="dxa" w:w="4680"/>
          </w:tcPr>
          <w:p>
            <w:pPr>
              <w:spacing w:line="240" w:lineRule="auto" w:after="40"/>
            </w:pPr>
            <w:r>
              <w:rPr>
                <w:rFonts w:ascii="Times New Roman" w:hAnsi="Times New Roman"/>
                <w:b w:val="0"/>
                <w:sz w:val="20"/>
              </w:rPr>
              <w:t>Control arm</w:t>
            </w:r>
          </w:p>
        </w:tc>
        <w:tc>
          <w:tcPr>
            <w:tcW w:type="dxa" w:w="4680"/>
          </w:tcPr>
          <w:p>
            <w:pPr>
              <w:spacing w:line="240" w:lineRule="auto" w:after="40"/>
            </w:pPr>
            <w:r>
              <w:rPr>
                <w:rFonts w:ascii="Times New Roman" w:hAnsi="Times New Roman"/>
                <w:b w:val="0"/>
                <w:sz w:val="20"/>
              </w:rPr>
              <w:t>Applicants scoring just below it</w:t>
            </w:r>
          </w:p>
        </w:tc>
      </w:tr>
      <w:tr>
        <w:tc>
          <w:tcPr>
            <w:tcW w:type="dxa" w:w="4680"/>
          </w:tcPr>
          <w:p>
            <w:pPr>
              <w:spacing w:line="240" w:lineRule="auto" w:after="40"/>
            </w:pPr>
            <w:r>
              <w:rPr>
                <w:rFonts w:ascii="Times New Roman" w:hAnsi="Times New Roman"/>
                <w:b w:val="0"/>
                <w:sz w:val="20"/>
              </w:rPr>
              <w:t>Identifying assumption</w:t>
            </w:r>
          </w:p>
        </w:tc>
        <w:tc>
          <w:tcPr>
            <w:tcW w:type="dxa" w:w="4680"/>
          </w:tcPr>
          <w:p>
            <w:pPr>
              <w:spacing w:line="240" w:lineRule="auto" w:after="40"/>
            </w:pPr>
            <w:r>
              <w:rPr>
                <w:rFonts w:ascii="Times New Roman" w:hAnsi="Times New Roman"/>
                <w:b w:val="0"/>
                <w:sz w:val="20"/>
              </w:rPr>
              <w:t>Baseline outcomes vary continuously across the cut-off; firms cannot precisely manipulate their own score</w:t>
            </w:r>
          </w:p>
        </w:tc>
      </w:tr>
      <w:tr>
        <w:tc>
          <w:tcPr>
            <w:tcW w:type="dxa" w:w="4680"/>
          </w:tcPr>
          <w:p>
            <w:pPr>
              <w:spacing w:line="240" w:lineRule="auto" w:after="40"/>
            </w:pPr>
            <w:r>
              <w:rPr>
                <w:rFonts w:ascii="Times New Roman" w:hAnsi="Times New Roman"/>
                <w:b w:val="0"/>
                <w:sz w:val="20"/>
              </w:rPr>
              <w:t>Primary outcome</w:t>
            </w:r>
          </w:p>
        </w:tc>
        <w:tc>
          <w:tcPr>
            <w:tcW w:type="dxa" w:w="4680"/>
          </w:tcPr>
          <w:p>
            <w:pPr>
              <w:spacing w:line="240" w:lineRule="auto" w:after="40"/>
            </w:pPr>
            <w:r>
              <w:rPr>
                <w:rFonts w:ascii="Times New Roman" w:hAnsi="Times New Roman"/>
                <w:b w:val="0"/>
                <w:sz w:val="20"/>
              </w:rPr>
              <w:t>Subsequent own-funded digital investment, from register data</w:t>
            </w:r>
          </w:p>
        </w:tc>
      </w:tr>
      <w:tr>
        <w:tc>
          <w:tcPr>
            <w:tcW w:type="dxa" w:w="4680"/>
          </w:tcPr>
          <w:p>
            <w:pPr>
              <w:spacing w:line="240" w:lineRule="auto" w:after="40"/>
            </w:pPr>
            <w:r>
              <w:rPr>
                <w:rFonts w:ascii="Times New Roman" w:hAnsi="Times New Roman"/>
                <w:b w:val="0"/>
                <w:sz w:val="20"/>
              </w:rPr>
              <w:t>Secondary outcomes</w:t>
            </w:r>
          </w:p>
        </w:tc>
        <w:tc>
          <w:tcPr>
            <w:tcW w:type="dxa" w:w="4680"/>
          </w:tcPr>
          <w:p>
            <w:pPr>
              <w:spacing w:line="240" w:lineRule="auto" w:after="40"/>
            </w:pPr>
            <w:r>
              <w:rPr>
                <w:rFonts w:ascii="Times New Roman" w:hAnsi="Times New Roman"/>
                <w:b w:val="0"/>
                <w:sz w:val="20"/>
              </w:rPr>
              <w:t>Employment, turnover, survival</w:t>
            </w:r>
          </w:p>
        </w:tc>
      </w:tr>
      <w:tr>
        <w:tc>
          <w:tcPr>
            <w:tcW w:type="dxa" w:w="4680"/>
          </w:tcPr>
          <w:p>
            <w:pPr>
              <w:spacing w:line="240" w:lineRule="auto" w:after="40"/>
            </w:pPr>
            <w:r>
              <w:rPr>
                <w:rFonts w:ascii="Times New Roman" w:hAnsi="Times New Roman"/>
                <w:b w:val="0"/>
                <w:sz w:val="20"/>
              </w:rPr>
              <w:t>Data source</w:t>
            </w:r>
          </w:p>
        </w:tc>
        <w:tc>
          <w:tcPr>
            <w:tcW w:type="dxa" w:w="4680"/>
          </w:tcPr>
          <w:p>
            <w:pPr>
              <w:spacing w:line="240" w:lineRule="auto" w:after="40"/>
            </w:pPr>
            <w:r>
              <w:rPr>
                <w:rFonts w:ascii="Times New Roman" w:hAnsi="Times New Roman"/>
                <w:b w:val="0"/>
                <w:sz w:val="20"/>
              </w:rPr>
              <w:t>Danmarks Statistik register linkage, not self-report</w:t>
            </w:r>
          </w:p>
        </w:tc>
      </w:tr>
      <w:tr>
        <w:tc>
          <w:tcPr>
            <w:tcW w:type="dxa" w:w="4680"/>
          </w:tcPr>
          <w:p>
            <w:pPr>
              <w:spacing w:line="240" w:lineRule="auto" w:after="40"/>
            </w:pPr>
            <w:r>
              <w:rPr>
                <w:rFonts w:ascii="Times New Roman" w:hAnsi="Times New Roman"/>
                <w:b w:val="0"/>
                <w:sz w:val="20"/>
              </w:rPr>
              <w:t>Legal basis for linkage</w:t>
            </w:r>
          </w:p>
        </w:tc>
        <w:tc>
          <w:tcPr>
            <w:tcW w:type="dxa" w:w="4680"/>
          </w:tcPr>
          <w:p>
            <w:pPr>
              <w:spacing w:line="240" w:lineRule="auto" w:after="40"/>
            </w:pPr>
            <w:r>
              <w:rPr>
                <w:rFonts w:ascii="Times New Roman" w:hAnsi="Times New Roman"/>
                <w:b w:val="0"/>
                <w:sz w:val="20"/>
              </w:rPr>
              <w:t>Statistical and research processing, as the existing effect measurement already relies on</w:t>
            </w:r>
          </w:p>
        </w:tc>
      </w:tr>
      <w:tr>
        <w:tc>
          <w:tcPr>
            <w:tcW w:type="dxa" w:w="4680"/>
          </w:tcPr>
          <w:p>
            <w:pPr>
              <w:spacing w:line="240" w:lineRule="auto" w:after="40"/>
            </w:pPr>
            <w:r>
              <w:rPr>
                <w:rFonts w:ascii="Times New Roman" w:hAnsi="Times New Roman"/>
                <w:b w:val="0"/>
                <w:sz w:val="20"/>
              </w:rPr>
              <w:t>Measurement window</w:t>
            </w:r>
          </w:p>
        </w:tc>
        <w:tc>
          <w:tcPr>
            <w:tcW w:type="dxa" w:w="4680"/>
          </w:tcPr>
          <w:p>
            <w:pPr>
              <w:spacing w:line="240" w:lineRule="auto" w:after="40"/>
            </w:pPr>
            <w:r>
              <w:rPr>
                <w:rFonts w:ascii="Times New Roman" w:hAnsi="Times New Roman"/>
                <w:b w:val="0"/>
                <w:sz w:val="20"/>
              </w:rPr>
              <w:t>Baseline at scoring; endline 24 months after project start</w:t>
            </w:r>
          </w:p>
        </w:tc>
      </w:tr>
      <w:tr>
        <w:tc>
          <w:tcPr>
            <w:tcW w:type="dxa" w:w="4680"/>
          </w:tcPr>
          <w:p>
            <w:pPr>
              <w:spacing w:line="240" w:lineRule="auto" w:after="40"/>
            </w:pPr>
            <w:r>
              <w:rPr>
                <w:rFonts w:ascii="Times New Roman" w:hAnsi="Times New Roman"/>
                <w:b w:val="0"/>
                <w:sz w:val="20"/>
              </w:rPr>
              <w:t>Required disclosure</w:t>
            </w:r>
          </w:p>
        </w:tc>
        <w:tc>
          <w:tcPr>
            <w:tcW w:type="dxa" w:w="4680"/>
          </w:tcPr>
          <w:p>
            <w:pPr>
              <w:spacing w:line="240" w:lineRule="auto" w:after="40"/>
            </w:pPr>
            <w:r>
              <w:rPr>
                <w:rFonts w:ascii="Times New Roman" w:hAnsi="Times New Roman"/>
                <w:b w:val="0"/>
                <w:sz w:val="20"/>
              </w:rPr>
              <w:t>Publication of all applicant scores and the cut-off</w:t>
            </w:r>
          </w:p>
        </w:tc>
      </w:tr>
      <w:tr>
        <w:tc>
          <w:tcPr>
            <w:tcW w:type="dxa" w:w="4680"/>
          </w:tcPr>
          <w:p>
            <w:pPr>
              <w:spacing w:line="240" w:lineRule="auto" w:after="40"/>
            </w:pPr>
            <w:r>
              <w:rPr>
                <w:rFonts w:ascii="Times New Roman" w:hAnsi="Times New Roman"/>
                <w:b w:val="0"/>
                <w:sz w:val="20"/>
              </w:rPr>
              <w:t>Marginal cost</w:t>
            </w:r>
          </w:p>
        </w:tc>
        <w:tc>
          <w:tcPr>
            <w:tcW w:type="dxa" w:w="4680"/>
          </w:tcPr>
          <w:p>
            <w:pPr>
              <w:spacing w:line="240" w:lineRule="auto" w:after="40"/>
            </w:pPr>
            <w:r>
              <w:rPr>
                <w:rFonts w:ascii="Times New Roman" w:hAnsi="Times New Roman"/>
                <w:b w:val="0"/>
                <w:sz w:val="20"/>
              </w:rPr>
              <w:t>Administrative only; neither budget nor allocation rule changes</w:t>
            </w:r>
          </w:p>
        </w:tc>
      </w:tr>
    </w:tbl>
    <w:p>
      <w:pPr>
        <w:spacing w:before="0" w:after="0"/>
        <w:jc w:val="both"/>
      </w:pPr>
      <w:r>
        <w:rPr>
          <w:rFonts w:ascii="Times New Roman" w:hAnsi="Times New Roman"/>
          <w:b w:val="0"/>
          <w:i w:val="0"/>
          <w:sz w:val="12"/>
        </w:rPr>
      </w:r>
    </w:p>
    <w:p>
      <w:pPr>
        <w:spacing w:before="0" w:after="120"/>
        <w:jc w:val="both"/>
      </w:pPr>
      <w:r>
        <w:rPr>
          <w:rFonts w:ascii="Times New Roman" w:hAnsi="Times New Roman"/>
          <w:b w:val="0"/>
          <w:i w:val="0"/>
          <w:sz w:val="24"/>
        </w:rPr>
        <w:t>The design is not novel, which is the point of proposing it. Howell evaluated the US Department of Energy's SBIR programme by exploiting the ranking of applicants, finding that an early-stage award roughly doubles the probability of subsequent venture capital and raises patenting and revenue, with effects strongest among the most financially constrained firms (Howell 2017), which is the subgroup a Danish SME scheme is aimed at. Santoleri and colleagues applied the same approach to the Horizon 2020 SME Instrument's own scoring threshold (Santoleri et al. 2022). SMV:Digital already scores applicants; what it does not do is retain the scores in a form that permits the comparison those studies made.</w:t>
      </w:r>
    </w:p>
    <w:p>
      <w:pPr>
        <w:spacing w:before="0" w:after="120"/>
        <w:jc w:val="both"/>
      </w:pPr>
      <w:r>
        <w:rPr>
          <w:rFonts w:ascii="Times New Roman" w:hAnsi="Times New Roman"/>
          <w:b w:val="0"/>
          <w:i w:val="0"/>
          <w:sz w:val="24"/>
        </w:rPr>
        <w:t>Two assumptions do the work, and the table separates them because they are routinely conflated. Continuity requires that firms just below the cut-off would, absent the grant, have done about as well as those just above, which is what makes the comparison a counterfactual. No-manipulation requires that firms cannot place themselves on the funded side at will, which is testable after the fact by inspecting the density of scores around the threshold. Assessor-scored applications satisfy the second more credibly than a self-reported eligibility rule would.</w:t>
      </w:r>
    </w:p>
    <w:p>
      <w:pPr>
        <w:spacing w:before="0" w:after="120"/>
        <w:jc w:val="both"/>
      </w:pPr>
      <w:r>
        <w:rPr>
          <w:rFonts w:ascii="Times New Roman" w:hAnsi="Times New Roman"/>
          <w:b w:val="0"/>
          <w:i w:val="0"/>
          <w:sz w:val="24"/>
        </w:rPr>
        <w:t>Three features carry the argument. Near the cut-off, whether a firm is funded turns on assessor variation rather than on the firm, so above and below are comparable on the unobservables that defeat matching, which is the entire gain over the present evaluation. Nothing about who receives money changes: the highest-scoring applicants are still funded, so the reform imposes no cost on applicants and needs no new appropriation. And the control arm already exists, since those firms are being turned away today; the scheme simply stops discarding the information that it turned them away at a known distance from a known threshold.</w:t>
      </w:r>
    </w:p>
    <w:p>
      <w:pPr>
        <w:spacing w:before="160" w:after="80"/>
        <w:jc w:val="left"/>
      </w:pPr>
      <w:r>
        <w:rPr>
          <w:rFonts w:ascii="Times New Roman" w:hAnsi="Times New Roman"/>
          <w:b/>
          <w:i w:val="0"/>
          <w:sz w:val="24"/>
        </w:rPr>
        <w:t>F.3 The alternative, and why it is rejected</w:t>
      </w:r>
    </w:p>
    <w:p>
      <w:pPr>
        <w:spacing w:before="0" w:after="120"/>
        <w:jc w:val="both"/>
      </w:pPr>
      <w:r>
        <w:rPr>
          <w:rFonts w:ascii="Times New Roman" w:hAnsi="Times New Roman"/>
          <w:b w:val="0"/>
          <w:i w:val="0"/>
          <w:sz w:val="24"/>
        </w:rPr>
        <w:t>The cleaner design is randomised allocation among eligible applicants, and an oversubscribed pool would supply it at no budgetary cost. Germany tried it. Under *Digital Jetzt*, the Bundesrechnungshof found that lottery allocation led firms to **postpone** investment while waiting for a favourable draw, and called for the procedure to be discontinued (Bundesrechnungshof 2022). The objection is not a technicality about budget law: a lottery makes the grant a prize worth waiting for, and waiting is the opposite of the behaviour the scheme exists to produce. A scoring threshold carries no such incentive, because applying at the highest quality one can manage remains the dominant strategy whichever side of the cut-off one lands on.</w:t>
      </w:r>
    </w:p>
    <w:p>
      <w:pPr>
        <w:spacing w:before="160" w:after="80"/>
        <w:jc w:val="left"/>
      </w:pPr>
      <w:r>
        <w:rPr>
          <w:rFonts w:ascii="Times New Roman" w:hAnsi="Times New Roman"/>
          <w:b/>
          <w:i w:val="0"/>
          <w:sz w:val="24"/>
        </w:rPr>
        <w:t>F.4 What the design can and cannot deliver</w:t>
      </w:r>
    </w:p>
    <w:p>
      <w:pPr>
        <w:spacing w:before="0" w:after="120"/>
        <w:jc w:val="both"/>
      </w:pPr>
      <w:r>
        <w:rPr>
          <w:rFonts w:ascii="Times New Roman" w:hAnsi="Times New Roman"/>
          <w:b w:val="0"/>
          <w:i w:val="0"/>
          <w:sz w:val="24"/>
        </w:rPr>
        <w:t>The estimate is local to the threshold. It identifies the effect of the grant on marginal applicants, meaning firms the assessors found neither clearly strong nor clearly weak, and not on the strongest recipients, and not on Danish SMEs generally. That is a narrower quantity than the present evaluation claims, and a credible one, which is the trade the design makes.</w:t>
      </w:r>
    </w:p>
    <w:p>
      <w:pPr>
        <w:spacing w:before="0" w:after="120"/>
        <w:jc w:val="both"/>
      </w:pPr>
      <w:r>
        <w:rPr>
          <w:rFonts w:ascii="Times New Roman" w:hAnsi="Times New Roman"/>
          <w:b w:val="0"/>
          <w:i w:val="0"/>
          <w:sz w:val="24"/>
        </w:rPr>
        <w:t>It also cannot detect effects on firms deterred from applying at all, which Section 3 identifies as the larger population. A discontinuity measures the scheme; it does not measure the gap the scheme was built to close.</w:t>
      </w:r>
    </w:p>
    <w:p>
      <w:pPr>
        <w:spacing w:before="160" w:after="80"/>
        <w:jc w:val="left"/>
      </w:pPr>
      <w:r>
        <w:rPr>
          <w:rFonts w:ascii="Times New Roman" w:hAnsi="Times New Roman"/>
          <w:b/>
          <w:i w:val="0"/>
          <w:sz w:val="24"/>
        </w:rPr>
        <w:t>F.5 Timeline</w:t>
      </w:r>
    </w:p>
    <w:p>
      <w:pPr>
        <w:spacing w:before="0" w:after="120"/>
        <w:jc w:val="both"/>
      </w:pPr>
      <w:r>
        <w:rPr>
          <w:rFonts w:ascii="Times New Roman" w:hAnsi="Times New Roman"/>
          <w:b w:val="0"/>
          <w:i w:val="0"/>
          <w:sz w:val="24"/>
        </w:rPr>
        <w:t>Figure F2</w:t>
      </w:r>
    </w:p>
    <w:p>
      <w:pPr>
        <w:spacing w:before="0" w:after="120"/>
        <w:jc w:val="both"/>
      </w:pPr>
      <w:r>
        <w:rPr>
          <w:rFonts w:ascii="Times New Roman" w:hAnsi="Times New Roman"/>
          <w:b w:val="0"/>
          <w:i w:val="0"/>
          <w:sz w:val="24"/>
        </w:rPr>
        <w:t>The schedule is anchored on the grant pool opening 26 October 2026 (SMV:Digital 2026). The critical path runs through scoring and disclosure, not disbursement: every later step depends on the scores and the cut-off being recorded at the time, and none of it can be reconstructed afterwards. A scheme that allocates first and asks about effect later has already foreclosed the sharper answer, which is the position SMV:Digital is in today.</w:t>
      </w:r>
    </w:p>
    <w:p>
      <w:pPr>
        <w:spacing w:before="160" w:after="40"/>
        <w:jc w:val="center"/>
      </w:pPr>
      <w:r>
        <w:drawing>
          <wp:inline xmlns:a="http://schemas.openxmlformats.org/drawingml/2006/main" xmlns:pic="http://schemas.openxmlformats.org/drawingml/2006/picture">
            <wp:extent cx="5760000" cy="3164796"/>
            <wp:docPr id="12" name="Picture 12"/>
            <wp:cNvGraphicFramePr>
              <a:graphicFrameLocks noChangeAspect="1"/>
            </wp:cNvGraphicFramePr>
            <a:graphic>
              <a:graphicData uri="http://schemas.openxmlformats.org/drawingml/2006/picture">
                <pic:pic>
                  <pic:nvPicPr>
                    <pic:cNvPr id="0" name="fig8_smvdigital.png"/>
                    <pic:cNvPicPr/>
                  </pic:nvPicPr>
                  <pic:blipFill>
                    <a:blip r:embed="rId21"/>
                    <a:stretch>
                      <a:fillRect/>
                    </a:stretch>
                  </pic:blipFill>
                  <pic:spPr>
                    <a:xfrm>
                      <a:off x="0" y="0"/>
                      <a:ext cx="5760000" cy="3164796"/>
                    </a:xfrm>
                    <a:prstGeom prst="rect"/>
                  </pic:spPr>
                </pic:pic>
              </a:graphicData>
            </a:graphic>
          </wp:inline>
        </w:drawing>
      </w:r>
    </w:p>
    <w:p>
      <w:pPr>
        <w:spacing w:before="0" w:after="200" w:line="240" w:lineRule="auto"/>
        <w:jc w:val="center"/>
      </w:pPr>
      <w:r>
        <w:rPr>
          <w:rFonts w:ascii="Times New Roman" w:hAnsi="Times New Roman"/>
          <w:b w:val="0"/>
          <w:i/>
          <w:sz w:val="20"/>
        </w:rPr>
        <w:t>Figure F1. SMV:Digital participation: self-reported by participants to the scheme's own funder. Workbook F8.</w:t>
      </w:r>
    </w:p>
    <w:p>
      <w:pPr>
        <w:spacing w:before="160" w:after="40"/>
        <w:jc w:val="center"/>
      </w:pPr>
      <w:r>
        <w:drawing>
          <wp:inline xmlns:a="http://schemas.openxmlformats.org/drawingml/2006/main" xmlns:pic="http://schemas.openxmlformats.org/drawingml/2006/picture">
            <wp:extent cx="5760000" cy="2770853"/>
            <wp:docPr id="13" name="Picture 13"/>
            <wp:cNvGraphicFramePr>
              <a:graphicFrameLocks noChangeAspect="1"/>
            </wp:cNvGraphicFramePr>
            <a:graphic>
              <a:graphicData uri="http://schemas.openxmlformats.org/drawingml/2006/picture">
                <pic:pic>
                  <pic:nvPicPr>
                    <pic:cNvPr id="0" name="figA_f1_gantt.png"/>
                    <pic:cNvPicPr/>
                  </pic:nvPicPr>
                  <pic:blipFill>
                    <a:blip r:embed="rId22"/>
                    <a:stretch>
                      <a:fillRect/>
                    </a:stretch>
                  </pic:blipFill>
                  <pic:spPr>
                    <a:xfrm>
                      <a:off x="0" y="0"/>
                      <a:ext cx="5760000" cy="2770853"/>
                    </a:xfrm>
                    <a:prstGeom prst="rect"/>
                  </pic:spPr>
                </pic:pic>
              </a:graphicData>
            </a:graphic>
          </wp:inline>
        </w:drawing>
      </w:r>
    </w:p>
    <w:p>
      <w:pPr>
        <w:spacing w:before="0" w:after="200" w:line="240" w:lineRule="auto"/>
        <w:jc w:val="center"/>
      </w:pPr>
      <w:r>
        <w:rPr>
          <w:rFonts w:ascii="Times New Roman" w:hAnsi="Times New Roman"/>
          <w:b w:val="0"/>
          <w:i/>
          <w:sz w:val="20"/>
        </w:rPr>
        <w:t>Figure F2. Implementation and evaluation timeline for the SMV:Digital scoring-threshold design proposed in Section 6.</w:t>
      </w:r>
    </w:p>
    <w:p>
      <w:r>
        <w:br w:type="page"/>
      </w:r>
    </w:p>
    <w:p>
      <w:pPr>
        <w:spacing w:before="0" w:after="160"/>
        <w:jc w:val="left"/>
      </w:pPr>
      <w:r>
        <w:rPr>
          <w:rFonts w:ascii="Times New Roman" w:hAnsi="Times New Roman"/>
          <w:b/>
          <w:i w:val="0"/>
          <w:sz w:val="26"/>
        </w:rPr>
        <w:t>Appendix G. Comparative Law on Mandatory Digital Administration</w:t>
      </w:r>
    </w:p>
    <w:p>
      <w:pPr>
        <w:spacing w:before="0" w:after="120"/>
        <w:jc w:val="both"/>
      </w:pPr>
      <w:r>
        <w:rPr>
          <w:rFonts w:ascii="Times New Roman" w:hAnsi="Times New Roman"/>
          <w:b w:val="0"/>
          <w:i w:val="0"/>
          <w:sz w:val="24"/>
        </w:rPr>
        <w:t>Section 6 recommends widening the exemption criteria in *Lov om Offentlig Digital Post*. The case for doing so is not only domestic. Two European courts have in the last four years examined mandatory digital administration and set conditions Denmark's mandate does not meet, and one comparable state reached the same place without litigation at all. This appendix sets out each, and what follows for a Danish reform.</w:t>
      </w:r>
    </w:p>
    <w:p>
      <w:pPr>
        <w:spacing w:before="160" w:after="80"/>
        <w:jc w:val="left"/>
      </w:pPr>
      <w:r>
        <w:rPr>
          <w:rFonts w:ascii="Times New Roman" w:hAnsi="Times New Roman"/>
          <w:b/>
          <w:i w:val="0"/>
          <w:sz w:val="24"/>
        </w:rPr>
        <w:t>G.1 France: mandatory digital service is lawful only on conditions</w:t>
      </w:r>
    </w:p>
    <w:p>
      <w:pPr>
        <w:spacing w:before="0" w:after="120"/>
        <w:jc w:val="both"/>
      </w:pPr>
      <w:r>
        <w:rPr>
          <w:rFonts w:ascii="Times New Roman" w:hAnsi="Times New Roman"/>
          <w:b w:val="0"/>
          <w:i w:val="0"/>
          <w:sz w:val="24"/>
        </w:rPr>
        <w:t>In Decision No. 452798 of 3 June 2022, the Conseil d'État partially annulled the decree requiring residence-permit applications to be made through the ANEF portal (Conseil d'État 2022). The court accepted that a regulatory authority may compel the use of a digital service. It held that the obligation is lawful only where users retain normal access to the public service and can exercise their rights effectively, and that this must be assessed *in concreto* against five criteria: the object of the service, the complexity of the procedure, its consequences for those affected, the characteristics of the digital tool, and the characteristics of the public concerned, including any difficulty it has in accessing or using online services.</w:t>
      </w:r>
    </w:p>
    <w:p>
      <w:pPr>
        <w:spacing w:before="0" w:after="120"/>
        <w:jc w:val="both"/>
      </w:pPr>
      <w:r>
        <w:rPr>
          <w:rFonts w:ascii="Times New Roman" w:hAnsi="Times New Roman"/>
          <w:b w:val="0"/>
          <w:i w:val="0"/>
          <w:sz w:val="24"/>
        </w:rPr>
        <w:t>Two remedies followed. The administration must provide support for users who need it, and a non-digital substitute route where the digital one fails. The reasoning is the one this report has been making empirically: a mandate is justified by the capability of the population it binds, not by the capability of the median user.</w:t>
      </w:r>
    </w:p>
    <w:p>
      <w:pPr>
        <w:spacing w:before="160" w:after="80"/>
        <w:jc w:val="left"/>
      </w:pPr>
      <w:r>
        <w:rPr>
          <w:rFonts w:ascii="Times New Roman" w:hAnsi="Times New Roman"/>
          <w:b/>
          <w:i w:val="0"/>
          <w:sz w:val="24"/>
        </w:rPr>
        <w:t>G.2 Belgium: the alternatives are cumulative, and cost is not a defence</w:t>
      </w:r>
    </w:p>
    <w:p>
      <w:pPr>
        <w:spacing w:before="0" w:after="120"/>
        <w:jc w:val="both"/>
      </w:pPr>
      <w:r>
        <w:rPr>
          <w:rFonts w:ascii="Times New Roman" w:hAnsi="Times New Roman"/>
          <w:b w:val="0"/>
          <w:i w:val="0"/>
          <w:sz w:val="24"/>
        </w:rPr>
        <w:t>In *Arrêt* No. 126/2025 of 25 September 2025, the Cour constitutionnelle ruled on the Brussels Digital ordinance of 2024 in an action brought by twenty-four associations and unions (Cour constitutionnelle 2025). It held that three non-digital channels, namely a physical counter, a telephone service and a postal route, are **cumulative**: each must be offered alongside the digital channel. Any substitute must itself be non-digital and deliver an equivalent level of service. And the obligation does not lapse where meeting it imposes a disproportionate burden on the authority.</w:t>
      </w:r>
    </w:p>
    <w:p>
      <w:pPr>
        <w:spacing w:before="0" w:after="120"/>
        <w:jc w:val="both"/>
      </w:pPr>
      <w:r>
        <w:rPr>
          <w:rFonts w:ascii="Times New Roman" w:hAnsi="Times New Roman"/>
          <w:b w:val="0"/>
          <w:i w:val="0"/>
          <w:sz w:val="24"/>
        </w:rPr>
        <w:t>That last holding is the one that bites hardest on a business case. Denmark's justification for compulsory Digital Post is a projected saving (Section 6). The Belgian court's position is that the saving is not a reason the obligation ceases to apply, which, applied to a Danish debate conducted almost entirely in administrative-cost terms, reverses the burden of argument.</w:t>
      </w:r>
    </w:p>
    <w:p>
      <w:pPr>
        <w:spacing w:before="160" w:after="80"/>
        <w:jc w:val="left"/>
      </w:pPr>
      <w:r>
        <w:rPr>
          <w:rFonts w:ascii="Times New Roman" w:hAnsi="Times New Roman"/>
          <w:b/>
          <w:i w:val="0"/>
          <w:sz w:val="24"/>
        </w:rPr>
        <w:t>G.3 Norway: the digital default binds the administration, not the citizen</w:t>
      </w:r>
    </w:p>
    <w:p>
      <w:pPr>
        <w:spacing w:before="0" w:after="120"/>
        <w:jc w:val="both"/>
      </w:pPr>
      <w:r>
        <w:rPr>
          <w:rFonts w:ascii="Times New Roman" w:hAnsi="Times New Roman"/>
          <w:b w:val="0"/>
          <w:i w:val="0"/>
          <w:sz w:val="24"/>
        </w:rPr>
        <w:t>The sharper contrast is not litigated at all. Norway made electronic communication the administrative default, *digitalt førstevalg*, but under the eGovernment regulations the obligation runs to the public body, and every citizen keeps a statutory right to opt out, the *reservasjonsrett*. The opt-out is recorded in the Contact and Reservation Register, which authorities must check before dispatching; a citizen who has opted out must be sent decisions on paper (Digitaliseringsdirektoratet 2025). Roughly 200,000 people hold a reservation, and Digdir notes the number has lately been falling rather than rising.</w:t>
      </w:r>
    </w:p>
    <w:p>
      <w:pPr>
        <w:spacing w:before="0" w:after="120"/>
        <w:jc w:val="both"/>
      </w:pPr>
      <w:r>
        <w:rPr>
          <w:rFonts w:ascii="Times New Roman" w:hAnsi="Times New Roman"/>
          <w:b w:val="0"/>
          <w:i w:val="0"/>
          <w:sz w:val="24"/>
        </w:rPr>
        <w:t>Two features distinguish this from the Danish arrangement, and neither is about how digital the state is. The entitlement attaches to the citizen rather than to an administrative status they must first qualify for, so there is no gate of the kind Section 4 measures. And it is exercisable by telephone or on paper, which matters because an opt-out reachable only through the digital channel would be self-defeating. No rate is offered against Denmark's 4.7%: the Norwegian figure is a count of registrations and the base it should be taken on is not established by the source, which is the error Appendix D exists to name. The comparison worth making is the route rather than the rate: whether reaching a position outside the digital channel requires the state's permission or only the citizen's decision.</w:t>
      </w:r>
    </w:p>
    <w:p>
      <w:pPr>
        <w:spacing w:before="160" w:after="80"/>
        <w:jc w:val="left"/>
      </w:pPr>
      <w:r>
        <w:rPr>
          <w:rFonts w:ascii="Times New Roman" w:hAnsi="Times New Roman"/>
          <w:b/>
          <w:i w:val="0"/>
          <w:sz w:val="24"/>
        </w:rPr>
        <w:t>G.4 What this does and does not establish</w:t>
      </w:r>
    </w:p>
    <w:p>
      <w:pPr>
        <w:spacing w:before="0" w:after="120"/>
        <w:jc w:val="both"/>
      </w:pPr>
      <w:r>
        <w:rPr>
          <w:rFonts w:ascii="Times New Roman" w:hAnsi="Times New Roman"/>
          <w:b w:val="0"/>
          <w:i w:val="0"/>
          <w:sz w:val="24"/>
        </w:rPr>
        <w:t>Neither ruling binds Denmark, and Norway's arrangement is a policy choice rather than a legal requirement on anyone else. The Conseil d'État decision concerns French administrative law and a specific applicant population, namely foreign nationals seeking residence permits, whose vulnerability the court treated as material. The Belgian ruling construes a Brussels regional ordinance against Belgian constitutional guarantees. Neither is a holding about *Lov om Offentlig Digital Post*, and this appendix does not claim that Denmark's mandate is unlawful.</w:t>
      </w:r>
    </w:p>
    <w:p>
      <w:pPr>
        <w:spacing w:before="0" w:after="120"/>
        <w:jc w:val="both"/>
      </w:pPr>
      <w:r>
        <w:rPr>
          <w:rFonts w:ascii="Times New Roman" w:hAnsi="Times New Roman"/>
          <w:b w:val="0"/>
          <w:i w:val="0"/>
          <w:sz w:val="24"/>
        </w:rPr>
        <w:t>What they establish is narrower and still useful: that mandatory digital administration is contested law in comparable European jurisdictions, and that where courts have examined it they have converged on a condition Denmark's scheme does not satisfy. Act 603 of 2023 gives a non-digital alternative to citizens already exempt from Digital Post (Folketinget 2023). The French and Belgian rulings attach the entitlement to the *difficulty*, not to a prior administrative status. That is precisely the gap Section 4 measured and Section 6 proposes to close, and the comparison shows the proposal is not an outlier but a convergence.</w:t>
      </w:r>
    </w:p>
    <w:p>
      <w:pPr>
        <w:spacing w:before="0" w:after="120"/>
        <w:jc w:val="both"/>
      </w:pPr>
      <w:r>
        <w:rPr>
          <w:rFonts w:ascii="Times New Roman" w:hAnsi="Times New Roman"/>
          <w:b w:val="0"/>
          <w:i w:val="0"/>
          <w:sz w:val="24"/>
        </w:rPr>
        <w:t>The point has also been made domestically. The Danish Institute for Human Rights, Denmark's national human rights institution, examined rights in the digital welfare state in December 2023 (Institut for Menneskerettigheder 2023). That a domestic body reached the subject independently of the litigation abroad is the more relevant fact here: the question is live in Denmark, not imported into it.</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